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923" w:rsidRPr="00AE7D71" w:rsidRDefault="00253965" w:rsidP="00AF3B99">
      <w:pPr>
        <w:tabs>
          <w:tab w:val="center" w:pos="567"/>
          <w:tab w:val="center" w:pos="4536"/>
          <w:tab w:val="center" w:pos="8505"/>
        </w:tabs>
        <w:rPr>
          <w:rFonts w:ascii="Arial" w:hAnsi="Arial" w:cs="Arial"/>
          <w:b/>
          <w:sz w:val="22"/>
          <w:szCs w:val="22"/>
        </w:rPr>
      </w:pPr>
      <w:bookmarkStart w:id="0" w:name="_GoBack"/>
      <w:bookmarkEnd w:id="0"/>
      <w:r>
        <w:rPr>
          <w:rFonts w:ascii="Arial" w:hAnsi="Arial" w:cs="Arial"/>
          <w:b/>
          <w:sz w:val="22"/>
          <w:szCs w:val="22"/>
        </w:rPr>
        <w:tab/>
      </w:r>
      <w:r w:rsidRPr="00AE7D71">
        <w:rPr>
          <w:rFonts w:ascii="Arial" w:hAnsi="Arial" w:cs="Arial"/>
          <w:noProof/>
          <w:sz w:val="22"/>
          <w:szCs w:val="22"/>
          <w:lang w:eastAsia="en-GB"/>
        </w:rPr>
        <w:drawing>
          <wp:inline distT="0" distB="0" distL="0" distR="0">
            <wp:extent cx="1504950" cy="91802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9366" cy="926814"/>
                    </a:xfrm>
                    <a:prstGeom prst="rect">
                      <a:avLst/>
                    </a:prstGeom>
                    <a:noFill/>
                    <a:ln>
                      <a:noFill/>
                    </a:ln>
                  </pic:spPr>
                </pic:pic>
              </a:graphicData>
            </a:graphic>
          </wp:inline>
        </w:drawing>
      </w:r>
      <w:r>
        <w:rPr>
          <w:rFonts w:ascii="Arial" w:hAnsi="Arial" w:cs="Arial"/>
          <w:b/>
          <w:sz w:val="22"/>
          <w:szCs w:val="22"/>
        </w:rPr>
        <w:tab/>
      </w:r>
      <w:r w:rsidRPr="00AE7D71">
        <w:rPr>
          <w:rFonts w:ascii="Arial" w:hAnsi="Arial" w:cs="Arial"/>
          <w:b/>
          <w:noProof/>
          <w:sz w:val="22"/>
          <w:szCs w:val="22"/>
          <w:lang w:eastAsia="en-GB"/>
        </w:rPr>
        <w:drawing>
          <wp:inline distT="0" distB="0" distL="0" distR="0">
            <wp:extent cx="1154430" cy="1050393"/>
            <wp:effectExtent l="19050" t="0" r="762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1747" cy="1047952"/>
                    </a:xfrm>
                    <a:prstGeom prst="rect">
                      <a:avLst/>
                    </a:prstGeom>
                    <a:noFill/>
                    <a:ln>
                      <a:noFill/>
                    </a:ln>
                  </pic:spPr>
                </pic:pic>
              </a:graphicData>
            </a:graphic>
          </wp:inline>
        </w:drawing>
      </w:r>
      <w:r>
        <w:rPr>
          <w:rFonts w:ascii="Arial" w:hAnsi="Arial" w:cs="Arial"/>
          <w:b/>
          <w:sz w:val="22"/>
          <w:szCs w:val="22"/>
        </w:rPr>
        <w:tab/>
      </w:r>
      <w:r w:rsidRPr="00AE7D71">
        <w:rPr>
          <w:rFonts w:ascii="Arial" w:hAnsi="Arial" w:cs="Arial"/>
          <w:noProof/>
          <w:sz w:val="22"/>
          <w:szCs w:val="22"/>
          <w:lang w:eastAsia="en-GB"/>
        </w:rPr>
        <w:drawing>
          <wp:inline distT="0" distB="0" distL="0" distR="0">
            <wp:extent cx="1190625" cy="1190625"/>
            <wp:effectExtent l="0" t="0" r="9525" b="9525"/>
            <wp:docPr id="8" name="Picture 1" descr="B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_2col"/>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0625" cy="1190625"/>
                    </a:xfrm>
                    <a:prstGeom prst="rect">
                      <a:avLst/>
                    </a:prstGeom>
                    <a:noFill/>
                    <a:ln>
                      <a:noFill/>
                    </a:ln>
                  </pic:spPr>
                </pic:pic>
              </a:graphicData>
            </a:graphic>
          </wp:inline>
        </w:drawing>
      </w:r>
    </w:p>
    <w:p w:rsidR="008B2923" w:rsidRPr="00AE7D71" w:rsidRDefault="008B2923" w:rsidP="00AF3B99">
      <w:pPr>
        <w:rPr>
          <w:rFonts w:ascii="Arial" w:hAnsi="Arial" w:cs="Arial"/>
          <w:b/>
          <w:sz w:val="22"/>
          <w:szCs w:val="22"/>
        </w:rPr>
      </w:pPr>
    </w:p>
    <w:p w:rsidR="00253965" w:rsidRDefault="00253965" w:rsidP="00AF3B99">
      <w:pPr>
        <w:rPr>
          <w:rFonts w:ascii="Arial" w:hAnsi="Arial" w:cs="Arial"/>
          <w:b/>
          <w:sz w:val="22"/>
          <w:szCs w:val="22"/>
        </w:rPr>
      </w:pPr>
    </w:p>
    <w:p w:rsidR="002C25B2" w:rsidRPr="00AE7D71" w:rsidRDefault="0091566D" w:rsidP="00AF3B99">
      <w:pPr>
        <w:jc w:val="center"/>
        <w:rPr>
          <w:rFonts w:ascii="Arial" w:hAnsi="Arial" w:cs="Arial"/>
          <w:b/>
          <w:sz w:val="22"/>
          <w:szCs w:val="22"/>
        </w:rPr>
      </w:pPr>
      <w:r w:rsidRPr="00AE7D71">
        <w:rPr>
          <w:rFonts w:ascii="Arial" w:hAnsi="Arial" w:cs="Arial"/>
          <w:b/>
          <w:sz w:val="22"/>
          <w:szCs w:val="22"/>
        </w:rPr>
        <w:t xml:space="preserve">PCIP EXECUTIVE MEETING </w:t>
      </w:r>
      <w:r w:rsidR="00444382">
        <w:rPr>
          <w:rFonts w:ascii="Arial" w:hAnsi="Arial" w:cs="Arial"/>
          <w:b/>
          <w:sz w:val="22"/>
          <w:szCs w:val="22"/>
        </w:rPr>
        <w:t xml:space="preserve">15 </w:t>
      </w:r>
      <w:r w:rsidR="004F202E" w:rsidRPr="00AE7D71">
        <w:rPr>
          <w:rFonts w:ascii="Arial" w:hAnsi="Arial" w:cs="Arial"/>
          <w:b/>
          <w:sz w:val="22"/>
          <w:szCs w:val="22"/>
        </w:rPr>
        <w:t xml:space="preserve">JULY </w:t>
      </w:r>
      <w:r w:rsidR="00680572" w:rsidRPr="00AE7D71">
        <w:rPr>
          <w:rFonts w:ascii="Arial" w:hAnsi="Arial" w:cs="Arial"/>
          <w:b/>
          <w:sz w:val="22"/>
          <w:szCs w:val="22"/>
        </w:rPr>
        <w:t>2021</w:t>
      </w:r>
    </w:p>
    <w:tbl>
      <w:tblPr>
        <w:tblW w:w="10173" w:type="dxa"/>
        <w:tblLook w:val="01E0"/>
      </w:tblPr>
      <w:tblGrid>
        <w:gridCol w:w="10173"/>
      </w:tblGrid>
      <w:tr w:rsidR="002C25B2" w:rsidRPr="00AE7D71" w:rsidTr="004D7C5F">
        <w:tc>
          <w:tcPr>
            <w:tcW w:w="10173" w:type="dxa"/>
          </w:tcPr>
          <w:p w:rsidR="002C25B2" w:rsidRPr="00AE7D71" w:rsidRDefault="002C25B2" w:rsidP="00AF3B99">
            <w:pPr>
              <w:pStyle w:val="Header"/>
              <w:tabs>
                <w:tab w:val="clear" w:pos="4153"/>
                <w:tab w:val="clear" w:pos="8306"/>
              </w:tabs>
              <w:jc w:val="right"/>
              <w:rPr>
                <w:rFonts w:ascii="Arial" w:hAnsi="Arial" w:cs="Arial"/>
                <w:b/>
                <w:bCs/>
              </w:rPr>
            </w:pPr>
          </w:p>
        </w:tc>
      </w:tr>
      <w:tr w:rsidR="002C25B2" w:rsidRPr="00AE7D71" w:rsidTr="004D7C5F">
        <w:tc>
          <w:tcPr>
            <w:tcW w:w="10173" w:type="dxa"/>
          </w:tcPr>
          <w:p w:rsidR="00B54239" w:rsidRPr="00AE7D71" w:rsidRDefault="00B54239" w:rsidP="00AF3B99">
            <w:pPr>
              <w:pStyle w:val="Header"/>
              <w:tabs>
                <w:tab w:val="clear" w:pos="4153"/>
                <w:tab w:val="clear" w:pos="8306"/>
              </w:tabs>
              <w:jc w:val="both"/>
              <w:rPr>
                <w:rFonts w:ascii="Arial" w:hAnsi="Arial" w:cs="Arial"/>
                <w:b/>
                <w:noProof/>
                <w:u w:val="single"/>
                <w:lang w:eastAsia="en-GB"/>
              </w:rPr>
            </w:pPr>
          </w:p>
          <w:p w:rsidR="002C25B2" w:rsidRPr="00AE7D71" w:rsidRDefault="002C25B2" w:rsidP="00AF3B99">
            <w:pPr>
              <w:pStyle w:val="Header"/>
              <w:tabs>
                <w:tab w:val="clear" w:pos="4153"/>
                <w:tab w:val="clear" w:pos="8306"/>
              </w:tabs>
              <w:jc w:val="both"/>
              <w:rPr>
                <w:rFonts w:ascii="Arial" w:hAnsi="Arial" w:cs="Arial"/>
                <w:b/>
                <w:noProof/>
                <w:u w:val="single"/>
                <w:lang w:eastAsia="en-GB"/>
              </w:rPr>
            </w:pPr>
            <w:r w:rsidRPr="00AE7D71">
              <w:rPr>
                <w:rFonts w:ascii="Arial" w:hAnsi="Arial" w:cs="Arial"/>
                <w:b/>
                <w:noProof/>
                <w:sz w:val="22"/>
                <w:szCs w:val="22"/>
                <w:u w:val="single"/>
                <w:lang w:eastAsia="en-GB"/>
              </w:rPr>
              <w:t>PRIMARY CARE IMPROVEMEN</w:t>
            </w:r>
            <w:r w:rsidR="0091566D" w:rsidRPr="00AE7D71">
              <w:rPr>
                <w:rFonts w:ascii="Arial" w:hAnsi="Arial" w:cs="Arial"/>
                <w:b/>
                <w:noProof/>
                <w:sz w:val="22"/>
                <w:szCs w:val="22"/>
                <w:u w:val="single"/>
                <w:lang w:eastAsia="en-GB"/>
              </w:rPr>
              <w:t>T PLAN – FINANCE REPORT AS AT</w:t>
            </w:r>
            <w:r w:rsidR="004B1285" w:rsidRPr="00AE7D71">
              <w:rPr>
                <w:rFonts w:ascii="Arial" w:hAnsi="Arial" w:cs="Arial"/>
                <w:b/>
                <w:noProof/>
                <w:sz w:val="22"/>
                <w:szCs w:val="22"/>
                <w:u w:val="single"/>
                <w:lang w:eastAsia="en-GB"/>
              </w:rPr>
              <w:t xml:space="preserve"> 3</w:t>
            </w:r>
            <w:r w:rsidR="0081677F" w:rsidRPr="00AE7D71">
              <w:rPr>
                <w:rFonts w:ascii="Arial" w:hAnsi="Arial" w:cs="Arial"/>
                <w:b/>
                <w:noProof/>
                <w:sz w:val="22"/>
                <w:szCs w:val="22"/>
                <w:u w:val="single"/>
                <w:lang w:eastAsia="en-GB"/>
              </w:rPr>
              <w:t xml:space="preserve">1 MAY </w:t>
            </w:r>
            <w:r w:rsidR="00E81835" w:rsidRPr="00AE7D71">
              <w:rPr>
                <w:rFonts w:ascii="Arial" w:hAnsi="Arial" w:cs="Arial"/>
                <w:b/>
                <w:noProof/>
                <w:sz w:val="22"/>
                <w:szCs w:val="22"/>
                <w:u w:val="single"/>
                <w:lang w:eastAsia="en-GB"/>
              </w:rPr>
              <w:t>2</w:t>
            </w:r>
            <w:r w:rsidR="00203CCF" w:rsidRPr="00AE7D71">
              <w:rPr>
                <w:rFonts w:ascii="Arial" w:hAnsi="Arial" w:cs="Arial"/>
                <w:b/>
                <w:noProof/>
                <w:sz w:val="22"/>
                <w:szCs w:val="22"/>
                <w:u w:val="single"/>
                <w:lang w:eastAsia="en-GB"/>
              </w:rPr>
              <w:t>021</w:t>
            </w:r>
          </w:p>
        </w:tc>
      </w:tr>
    </w:tbl>
    <w:p w:rsidR="00A721AC" w:rsidRPr="00AE7D71" w:rsidRDefault="00A721AC" w:rsidP="00AF3B99">
      <w:pPr>
        <w:jc w:val="both"/>
        <w:rPr>
          <w:rFonts w:ascii="Arial" w:hAnsi="Arial" w:cs="Arial"/>
          <w:sz w:val="22"/>
          <w:szCs w:val="22"/>
        </w:rPr>
      </w:pPr>
    </w:p>
    <w:p w:rsidR="00901250" w:rsidRPr="00AE7D71" w:rsidRDefault="00901250" w:rsidP="00AF3B99">
      <w:pPr>
        <w:pStyle w:val="ListParagraph"/>
        <w:spacing w:after="0" w:line="240" w:lineRule="auto"/>
        <w:ind w:left="0"/>
        <w:jc w:val="both"/>
        <w:rPr>
          <w:rFonts w:ascii="Arial" w:hAnsi="Arial" w:cs="Arial"/>
          <w:noProof/>
          <w:lang w:eastAsia="en-GB"/>
        </w:rPr>
      </w:pPr>
    </w:p>
    <w:p w:rsidR="00EC507E" w:rsidRPr="00AE7D71" w:rsidRDefault="002C25B2" w:rsidP="00AF3B99">
      <w:pPr>
        <w:pStyle w:val="ListParagraph"/>
        <w:spacing w:after="0" w:line="240" w:lineRule="auto"/>
        <w:ind w:left="0"/>
        <w:jc w:val="both"/>
        <w:rPr>
          <w:rFonts w:ascii="Arial" w:hAnsi="Arial" w:cs="Arial"/>
          <w:noProof/>
          <w:lang w:eastAsia="en-GB"/>
        </w:rPr>
      </w:pPr>
      <w:r w:rsidRPr="00AE7D71">
        <w:rPr>
          <w:rFonts w:ascii="Arial" w:hAnsi="Arial" w:cs="Arial"/>
          <w:noProof/>
          <w:lang w:eastAsia="en-GB"/>
        </w:rPr>
        <w:t xml:space="preserve">The aim of this report is to </w:t>
      </w:r>
      <w:r w:rsidR="00AE7D71" w:rsidRPr="00AE7D71">
        <w:rPr>
          <w:rFonts w:ascii="Arial" w:hAnsi="Arial" w:cs="Arial"/>
          <w:noProof/>
          <w:lang w:eastAsia="en-GB"/>
        </w:rPr>
        <w:t>update</w:t>
      </w:r>
      <w:r w:rsidRPr="00AE7D71">
        <w:rPr>
          <w:rFonts w:ascii="Arial" w:hAnsi="Arial" w:cs="Arial"/>
          <w:noProof/>
          <w:lang w:eastAsia="en-GB"/>
        </w:rPr>
        <w:t xml:space="preserve"> the </w:t>
      </w:r>
      <w:r w:rsidR="00D80594">
        <w:rPr>
          <w:rFonts w:ascii="Arial" w:hAnsi="Arial" w:cs="Arial"/>
          <w:noProof/>
          <w:lang w:eastAsia="en-GB"/>
        </w:rPr>
        <w:t>Primary Care Improvement Plan (</w:t>
      </w:r>
      <w:r w:rsidRPr="00AE7D71">
        <w:rPr>
          <w:rFonts w:ascii="Arial" w:hAnsi="Arial" w:cs="Arial"/>
          <w:noProof/>
          <w:lang w:eastAsia="en-GB"/>
        </w:rPr>
        <w:t>P</w:t>
      </w:r>
      <w:r w:rsidR="004D7C5F" w:rsidRPr="00AE7D71">
        <w:rPr>
          <w:rFonts w:ascii="Arial" w:hAnsi="Arial" w:cs="Arial"/>
          <w:noProof/>
          <w:lang w:eastAsia="en-GB"/>
        </w:rPr>
        <w:t>CIP</w:t>
      </w:r>
      <w:r w:rsidR="00D80594">
        <w:rPr>
          <w:rFonts w:ascii="Arial" w:hAnsi="Arial" w:cs="Arial"/>
          <w:noProof/>
          <w:lang w:eastAsia="en-GB"/>
        </w:rPr>
        <w:t>)</w:t>
      </w:r>
      <w:r w:rsidR="004D7C5F" w:rsidRPr="00AE7D71">
        <w:rPr>
          <w:rFonts w:ascii="Arial" w:hAnsi="Arial" w:cs="Arial"/>
          <w:noProof/>
          <w:lang w:eastAsia="en-GB"/>
        </w:rPr>
        <w:t xml:space="preserve"> Executive</w:t>
      </w:r>
      <w:r w:rsidRPr="00AE7D71">
        <w:rPr>
          <w:rFonts w:ascii="Arial" w:hAnsi="Arial" w:cs="Arial"/>
          <w:noProof/>
          <w:lang w:eastAsia="en-GB"/>
        </w:rPr>
        <w:t xml:space="preserve"> Group on the financial position </w:t>
      </w:r>
      <w:r w:rsidR="00AE7D71" w:rsidRPr="00AE7D71">
        <w:rPr>
          <w:rFonts w:ascii="Arial" w:hAnsi="Arial" w:cs="Arial"/>
          <w:noProof/>
          <w:lang w:eastAsia="en-GB"/>
        </w:rPr>
        <w:t>at 31</w:t>
      </w:r>
      <w:r w:rsidR="00AE7D71" w:rsidRPr="00AE7D71">
        <w:rPr>
          <w:rFonts w:ascii="Arial" w:hAnsi="Arial" w:cs="Arial"/>
          <w:noProof/>
          <w:vertAlign w:val="superscript"/>
          <w:lang w:eastAsia="en-GB"/>
        </w:rPr>
        <w:t>st</w:t>
      </w:r>
      <w:r w:rsidR="00AE7D71" w:rsidRPr="00AE7D71">
        <w:rPr>
          <w:rFonts w:ascii="Arial" w:hAnsi="Arial" w:cs="Arial"/>
          <w:noProof/>
          <w:lang w:eastAsia="en-GB"/>
        </w:rPr>
        <w:t xml:space="preserve"> May 2021 </w:t>
      </w:r>
      <w:r w:rsidR="003A165F" w:rsidRPr="00AE7D71">
        <w:rPr>
          <w:rFonts w:ascii="Arial" w:hAnsi="Arial" w:cs="Arial"/>
          <w:noProof/>
          <w:lang w:eastAsia="en-GB"/>
        </w:rPr>
        <w:t xml:space="preserve">with regard to </w:t>
      </w:r>
      <w:r w:rsidRPr="00AE7D71">
        <w:rPr>
          <w:rFonts w:ascii="Arial" w:hAnsi="Arial" w:cs="Arial"/>
          <w:noProof/>
          <w:lang w:eastAsia="en-GB"/>
        </w:rPr>
        <w:t xml:space="preserve">the priority areas </w:t>
      </w:r>
      <w:r w:rsidR="00140540">
        <w:rPr>
          <w:rFonts w:ascii="Arial" w:hAnsi="Arial" w:cs="Arial"/>
          <w:noProof/>
          <w:lang w:eastAsia="en-GB"/>
        </w:rPr>
        <w:t>it has agreed will be funded</w:t>
      </w:r>
      <w:r w:rsidRPr="00AE7D71">
        <w:rPr>
          <w:rFonts w:ascii="Arial" w:hAnsi="Arial" w:cs="Arial"/>
          <w:noProof/>
          <w:lang w:eastAsia="en-GB"/>
        </w:rPr>
        <w:t xml:space="preserve"> from the PCIP</w:t>
      </w:r>
      <w:r w:rsidR="00AE7D71" w:rsidRPr="00AE7D71">
        <w:rPr>
          <w:rFonts w:ascii="Arial" w:hAnsi="Arial" w:cs="Arial"/>
          <w:noProof/>
          <w:lang w:eastAsia="en-GB"/>
        </w:rPr>
        <w:t xml:space="preserve"> </w:t>
      </w:r>
      <w:r w:rsidR="00EC507E" w:rsidRPr="00AE7D71">
        <w:rPr>
          <w:rFonts w:ascii="Arial" w:hAnsi="Arial" w:cs="Arial"/>
          <w:noProof/>
          <w:lang w:eastAsia="en-GB"/>
        </w:rPr>
        <w:t xml:space="preserve">to support delivery of </w:t>
      </w:r>
      <w:r w:rsidR="00140540">
        <w:rPr>
          <w:rFonts w:ascii="Arial" w:hAnsi="Arial" w:cs="Arial"/>
          <w:noProof/>
          <w:lang w:eastAsia="en-GB"/>
        </w:rPr>
        <w:t>Primary Care reform</w:t>
      </w:r>
      <w:r w:rsidR="00EC507E" w:rsidRPr="00AE7D71">
        <w:rPr>
          <w:rFonts w:ascii="Arial" w:hAnsi="Arial" w:cs="Arial"/>
          <w:noProof/>
          <w:lang w:eastAsia="en-GB"/>
        </w:rPr>
        <w:t>.</w:t>
      </w:r>
    </w:p>
    <w:p w:rsidR="00AE7D71" w:rsidRPr="00AE7D71" w:rsidRDefault="00AE7D71" w:rsidP="00AF3B99">
      <w:pPr>
        <w:pStyle w:val="ListParagraph"/>
        <w:spacing w:after="0" w:line="240" w:lineRule="auto"/>
        <w:ind w:left="0"/>
        <w:jc w:val="both"/>
        <w:rPr>
          <w:rFonts w:ascii="Arial" w:hAnsi="Arial" w:cs="Arial"/>
          <w:noProof/>
          <w:lang w:eastAsia="en-GB"/>
        </w:rPr>
      </w:pPr>
    </w:p>
    <w:p w:rsidR="00901250" w:rsidRDefault="00140540" w:rsidP="00AF3B99">
      <w:pPr>
        <w:pStyle w:val="ListParagraph"/>
        <w:spacing w:after="0" w:line="240" w:lineRule="auto"/>
        <w:ind w:left="0"/>
        <w:jc w:val="both"/>
        <w:rPr>
          <w:rFonts w:ascii="Arial" w:hAnsi="Arial" w:cs="Arial"/>
          <w:noProof/>
          <w:lang w:eastAsia="en-GB"/>
        </w:rPr>
      </w:pPr>
      <w:r>
        <w:rPr>
          <w:rFonts w:ascii="Arial" w:hAnsi="Arial" w:cs="Arial"/>
          <w:noProof/>
          <w:lang w:eastAsia="en-GB"/>
        </w:rPr>
        <w:t>This</w:t>
      </w:r>
      <w:r w:rsidR="00EC507E" w:rsidRPr="00AE7D71">
        <w:rPr>
          <w:rFonts w:ascii="Arial" w:hAnsi="Arial" w:cs="Arial"/>
          <w:noProof/>
          <w:lang w:eastAsia="en-GB"/>
        </w:rPr>
        <w:t xml:space="preserve"> report</w:t>
      </w:r>
      <w:r w:rsidR="00901250" w:rsidRPr="00AE7D71">
        <w:rPr>
          <w:rFonts w:ascii="Arial" w:hAnsi="Arial" w:cs="Arial"/>
          <w:noProof/>
          <w:lang w:eastAsia="en-GB"/>
        </w:rPr>
        <w:t xml:space="preserve"> provide</w:t>
      </w:r>
      <w:r w:rsidR="00EC507E" w:rsidRPr="00AE7D71">
        <w:rPr>
          <w:rFonts w:ascii="Arial" w:hAnsi="Arial" w:cs="Arial"/>
          <w:noProof/>
          <w:lang w:eastAsia="en-GB"/>
        </w:rPr>
        <w:t>s</w:t>
      </w:r>
      <w:r w:rsidR="00901250" w:rsidRPr="00AE7D71">
        <w:rPr>
          <w:rFonts w:ascii="Arial" w:hAnsi="Arial" w:cs="Arial"/>
          <w:noProof/>
          <w:lang w:eastAsia="en-GB"/>
        </w:rPr>
        <w:t xml:space="preserve"> an update on </w:t>
      </w:r>
      <w:r w:rsidR="002332F8">
        <w:rPr>
          <w:rFonts w:ascii="Arial" w:hAnsi="Arial" w:cs="Arial"/>
          <w:noProof/>
          <w:lang w:eastAsia="en-GB"/>
        </w:rPr>
        <w:t>expenditure to date pertaining to the</w:t>
      </w:r>
      <w:r w:rsidR="00326790" w:rsidRPr="00AE7D71">
        <w:rPr>
          <w:rFonts w:ascii="Arial" w:hAnsi="Arial" w:cs="Arial"/>
          <w:noProof/>
          <w:lang w:eastAsia="en-GB"/>
        </w:rPr>
        <w:t xml:space="preserve"> PCIP workstreams and </w:t>
      </w:r>
      <w:r w:rsidR="00EC507E" w:rsidRPr="00AE7D71">
        <w:rPr>
          <w:rFonts w:ascii="Arial" w:hAnsi="Arial" w:cs="Arial"/>
          <w:noProof/>
          <w:lang w:eastAsia="en-GB"/>
        </w:rPr>
        <w:t xml:space="preserve">highlights </w:t>
      </w:r>
      <w:r w:rsidR="00326790" w:rsidRPr="00AE7D71">
        <w:rPr>
          <w:rFonts w:ascii="Arial" w:hAnsi="Arial" w:cs="Arial"/>
          <w:noProof/>
          <w:lang w:eastAsia="en-GB"/>
        </w:rPr>
        <w:t>the forecast funding required from S</w:t>
      </w:r>
      <w:r w:rsidR="008E329D" w:rsidRPr="00AE7D71">
        <w:rPr>
          <w:rFonts w:ascii="Arial" w:hAnsi="Arial" w:cs="Arial"/>
          <w:noProof/>
          <w:lang w:eastAsia="en-GB"/>
        </w:rPr>
        <w:t xml:space="preserve">cottish </w:t>
      </w:r>
      <w:r w:rsidR="00326790" w:rsidRPr="00AE7D71">
        <w:rPr>
          <w:rFonts w:ascii="Arial" w:hAnsi="Arial" w:cs="Arial"/>
          <w:noProof/>
          <w:lang w:eastAsia="en-GB"/>
        </w:rPr>
        <w:t>G</w:t>
      </w:r>
      <w:r w:rsidR="008E329D" w:rsidRPr="00AE7D71">
        <w:rPr>
          <w:rFonts w:ascii="Arial" w:hAnsi="Arial" w:cs="Arial"/>
          <w:noProof/>
          <w:lang w:eastAsia="en-GB"/>
        </w:rPr>
        <w:t>over</w:t>
      </w:r>
      <w:r w:rsidR="00D80594">
        <w:rPr>
          <w:rFonts w:ascii="Arial" w:hAnsi="Arial" w:cs="Arial"/>
          <w:noProof/>
          <w:lang w:eastAsia="en-GB"/>
        </w:rPr>
        <w:t>nment</w:t>
      </w:r>
      <w:r w:rsidR="00326790" w:rsidRPr="00AE7D71">
        <w:rPr>
          <w:rFonts w:ascii="Arial" w:hAnsi="Arial" w:cs="Arial"/>
          <w:noProof/>
          <w:lang w:eastAsia="en-GB"/>
        </w:rPr>
        <w:t xml:space="preserve"> to support the</w:t>
      </w:r>
      <w:r w:rsidR="003A165F" w:rsidRPr="00AE7D71">
        <w:rPr>
          <w:rFonts w:ascii="Arial" w:hAnsi="Arial" w:cs="Arial"/>
          <w:noProof/>
          <w:lang w:eastAsia="en-GB"/>
        </w:rPr>
        <w:t xml:space="preserve"> overall</w:t>
      </w:r>
      <w:r w:rsidR="00326790" w:rsidRPr="00AE7D71">
        <w:rPr>
          <w:rFonts w:ascii="Arial" w:hAnsi="Arial" w:cs="Arial"/>
          <w:noProof/>
          <w:lang w:eastAsia="en-GB"/>
        </w:rPr>
        <w:t xml:space="preserve"> financial plan.</w:t>
      </w:r>
      <w:r w:rsidR="002332F8">
        <w:rPr>
          <w:rFonts w:ascii="Arial" w:hAnsi="Arial" w:cs="Arial"/>
          <w:noProof/>
          <w:lang w:eastAsia="en-GB"/>
        </w:rPr>
        <w:t xml:space="preserve"> It also outlines the costs of enabling resources and agreed funding sources.</w:t>
      </w:r>
    </w:p>
    <w:p w:rsidR="002332F8" w:rsidRPr="00AE7D71" w:rsidRDefault="002332F8" w:rsidP="00AF3B99">
      <w:pPr>
        <w:pStyle w:val="ListParagraph"/>
        <w:spacing w:after="0" w:line="240" w:lineRule="auto"/>
        <w:ind w:left="0"/>
        <w:jc w:val="both"/>
        <w:rPr>
          <w:rFonts w:ascii="Arial" w:hAnsi="Arial" w:cs="Arial"/>
          <w:noProof/>
          <w:lang w:eastAsia="en-GB"/>
        </w:rPr>
      </w:pPr>
    </w:p>
    <w:p w:rsidR="00901250" w:rsidRPr="000E2DF1" w:rsidRDefault="00901250" w:rsidP="00AF3B99">
      <w:pPr>
        <w:pStyle w:val="ListParagraph"/>
        <w:spacing w:after="0" w:line="240" w:lineRule="auto"/>
        <w:ind w:left="0"/>
        <w:jc w:val="both"/>
        <w:rPr>
          <w:rFonts w:ascii="Arial" w:hAnsi="Arial" w:cs="Arial"/>
          <w:noProof/>
          <w:lang w:eastAsia="en-GB"/>
        </w:rPr>
      </w:pPr>
    </w:p>
    <w:p w:rsidR="003A165F" w:rsidRPr="000E7CDF" w:rsidRDefault="003A165F" w:rsidP="00AF3B99">
      <w:pPr>
        <w:pStyle w:val="ListParagraph"/>
        <w:spacing w:after="0" w:line="240" w:lineRule="auto"/>
        <w:ind w:left="0"/>
        <w:jc w:val="both"/>
        <w:rPr>
          <w:rFonts w:ascii="Arial" w:hAnsi="Arial" w:cs="Arial"/>
          <w:b/>
          <w:noProof/>
          <w:lang w:eastAsia="en-GB"/>
        </w:rPr>
      </w:pPr>
      <w:r w:rsidRPr="000E7CDF">
        <w:rPr>
          <w:rFonts w:ascii="Arial" w:hAnsi="Arial" w:cs="Arial"/>
          <w:b/>
          <w:noProof/>
          <w:lang w:eastAsia="en-GB"/>
        </w:rPr>
        <w:t>Background</w:t>
      </w:r>
    </w:p>
    <w:p w:rsidR="003A165F" w:rsidRPr="000E2DF1" w:rsidRDefault="003A165F" w:rsidP="00AF3B99">
      <w:pPr>
        <w:pStyle w:val="ListParagraph"/>
        <w:spacing w:after="0" w:line="240" w:lineRule="auto"/>
        <w:ind w:left="0"/>
        <w:jc w:val="both"/>
        <w:rPr>
          <w:rFonts w:ascii="Arial" w:hAnsi="Arial" w:cs="Arial"/>
          <w:noProof/>
          <w:lang w:eastAsia="en-GB"/>
        </w:rPr>
      </w:pPr>
    </w:p>
    <w:p w:rsidR="00E82622" w:rsidRPr="000E2DF1" w:rsidRDefault="00AE7D71" w:rsidP="00AF3B99">
      <w:pPr>
        <w:pStyle w:val="Header"/>
        <w:tabs>
          <w:tab w:val="clear" w:pos="4153"/>
          <w:tab w:val="clear" w:pos="8306"/>
        </w:tabs>
        <w:jc w:val="both"/>
        <w:rPr>
          <w:rFonts w:ascii="Arial" w:hAnsi="Arial" w:cs="Arial"/>
          <w:noProof/>
          <w:sz w:val="22"/>
          <w:szCs w:val="22"/>
          <w:lang w:eastAsia="en-GB"/>
        </w:rPr>
      </w:pPr>
      <w:r w:rsidRPr="000E2DF1">
        <w:rPr>
          <w:rFonts w:ascii="Arial" w:hAnsi="Arial" w:cs="Arial"/>
          <w:noProof/>
          <w:sz w:val="22"/>
          <w:szCs w:val="22"/>
          <w:lang w:eastAsia="en-GB"/>
        </w:rPr>
        <w:t>As previously reported, t</w:t>
      </w:r>
      <w:r w:rsidR="00901250" w:rsidRPr="000E2DF1">
        <w:rPr>
          <w:rFonts w:ascii="Arial" w:hAnsi="Arial" w:cs="Arial"/>
          <w:noProof/>
          <w:sz w:val="22"/>
          <w:szCs w:val="22"/>
          <w:lang w:eastAsia="en-GB"/>
        </w:rPr>
        <w:t xml:space="preserve">he allocation to support </w:t>
      </w:r>
      <w:r w:rsidR="00D80594">
        <w:rPr>
          <w:rFonts w:ascii="Arial" w:hAnsi="Arial" w:cs="Arial"/>
          <w:noProof/>
          <w:sz w:val="22"/>
          <w:szCs w:val="22"/>
          <w:lang w:eastAsia="en-GB"/>
        </w:rPr>
        <w:t xml:space="preserve">the </w:t>
      </w:r>
      <w:r w:rsidR="008B2923" w:rsidRPr="000E2DF1">
        <w:rPr>
          <w:rFonts w:ascii="Arial" w:hAnsi="Arial" w:cs="Arial"/>
          <w:noProof/>
          <w:sz w:val="22"/>
          <w:szCs w:val="22"/>
          <w:lang w:eastAsia="en-GB"/>
        </w:rPr>
        <w:t xml:space="preserve">delivery of PCIP </w:t>
      </w:r>
      <w:r w:rsidR="00D80594">
        <w:rPr>
          <w:rFonts w:ascii="Arial" w:hAnsi="Arial" w:cs="Arial"/>
          <w:noProof/>
          <w:sz w:val="22"/>
          <w:szCs w:val="22"/>
          <w:lang w:eastAsia="en-GB"/>
        </w:rPr>
        <w:t>by</w:t>
      </w:r>
      <w:r w:rsidR="008B2923" w:rsidRPr="000E2DF1">
        <w:rPr>
          <w:rFonts w:ascii="Arial" w:hAnsi="Arial" w:cs="Arial"/>
          <w:noProof/>
          <w:sz w:val="22"/>
          <w:szCs w:val="22"/>
          <w:lang w:eastAsia="en-GB"/>
        </w:rPr>
        <w:t xml:space="preserve"> </w:t>
      </w:r>
      <w:r w:rsidR="00D80594">
        <w:rPr>
          <w:rFonts w:ascii="Arial" w:hAnsi="Arial" w:cs="Arial"/>
          <w:noProof/>
          <w:sz w:val="22"/>
          <w:szCs w:val="22"/>
          <w:lang w:eastAsia="en-GB"/>
        </w:rPr>
        <w:t>the Scottish Government</w:t>
      </w:r>
      <w:r w:rsidR="00901250" w:rsidRPr="000E2DF1">
        <w:rPr>
          <w:rFonts w:ascii="Arial" w:hAnsi="Arial" w:cs="Arial"/>
          <w:noProof/>
          <w:sz w:val="22"/>
          <w:szCs w:val="22"/>
          <w:lang w:eastAsia="en-GB"/>
        </w:rPr>
        <w:t xml:space="preserve"> </w:t>
      </w:r>
      <w:r w:rsidR="00D80594">
        <w:rPr>
          <w:rFonts w:ascii="Arial" w:hAnsi="Arial" w:cs="Arial"/>
          <w:noProof/>
          <w:sz w:val="22"/>
          <w:szCs w:val="22"/>
          <w:lang w:eastAsia="en-GB"/>
        </w:rPr>
        <w:t xml:space="preserve">(Primary Care Improvement Fund (PCIF) allocation) </w:t>
      </w:r>
      <w:r w:rsidR="00901250" w:rsidRPr="000E2DF1">
        <w:rPr>
          <w:rFonts w:ascii="Arial" w:hAnsi="Arial" w:cs="Arial"/>
          <w:noProof/>
          <w:sz w:val="22"/>
          <w:szCs w:val="22"/>
          <w:lang w:eastAsia="en-GB"/>
        </w:rPr>
        <w:t>is</w:t>
      </w:r>
      <w:r w:rsidR="00E82622" w:rsidRPr="000E2DF1">
        <w:rPr>
          <w:rFonts w:ascii="Arial" w:hAnsi="Arial" w:cs="Arial"/>
          <w:noProof/>
          <w:sz w:val="22"/>
          <w:szCs w:val="22"/>
          <w:lang w:eastAsia="en-GB"/>
        </w:rPr>
        <w:t xml:space="preserve"> calculated applying the </w:t>
      </w:r>
      <w:r w:rsidRPr="000E2DF1">
        <w:rPr>
          <w:rFonts w:ascii="Arial" w:hAnsi="Arial" w:cs="Arial"/>
          <w:noProof/>
          <w:sz w:val="22"/>
          <w:szCs w:val="22"/>
          <w:lang w:eastAsia="en-GB"/>
        </w:rPr>
        <w:t>NHS Scotland Resource Allocation Committee (</w:t>
      </w:r>
      <w:r w:rsidR="00E82622" w:rsidRPr="000E2DF1">
        <w:rPr>
          <w:rFonts w:ascii="Arial" w:hAnsi="Arial" w:cs="Arial"/>
          <w:noProof/>
          <w:sz w:val="22"/>
          <w:szCs w:val="22"/>
          <w:lang w:eastAsia="en-GB"/>
        </w:rPr>
        <w:t>NRAC</w:t>
      </w:r>
      <w:r w:rsidRPr="000E2DF1">
        <w:rPr>
          <w:rFonts w:ascii="Arial" w:hAnsi="Arial" w:cs="Arial"/>
          <w:noProof/>
          <w:sz w:val="22"/>
          <w:szCs w:val="22"/>
          <w:lang w:eastAsia="en-GB"/>
        </w:rPr>
        <w:t>)</w:t>
      </w:r>
      <w:r w:rsidR="00E82622" w:rsidRPr="000E2DF1">
        <w:rPr>
          <w:rFonts w:ascii="Arial" w:hAnsi="Arial" w:cs="Arial"/>
          <w:noProof/>
          <w:sz w:val="22"/>
          <w:szCs w:val="22"/>
          <w:lang w:eastAsia="en-GB"/>
        </w:rPr>
        <w:t xml:space="preserve"> f</w:t>
      </w:r>
      <w:r w:rsidR="00901250" w:rsidRPr="000E2DF1">
        <w:rPr>
          <w:rFonts w:ascii="Arial" w:hAnsi="Arial" w:cs="Arial"/>
          <w:noProof/>
          <w:sz w:val="22"/>
          <w:szCs w:val="22"/>
          <w:lang w:eastAsia="en-GB"/>
        </w:rPr>
        <w:t>o</w:t>
      </w:r>
      <w:r w:rsidR="00E82622" w:rsidRPr="000E2DF1">
        <w:rPr>
          <w:rFonts w:ascii="Arial" w:hAnsi="Arial" w:cs="Arial"/>
          <w:noProof/>
          <w:sz w:val="22"/>
          <w:szCs w:val="22"/>
          <w:lang w:eastAsia="en-GB"/>
        </w:rPr>
        <w:t>r</w:t>
      </w:r>
      <w:r w:rsidRPr="000E2DF1">
        <w:rPr>
          <w:rFonts w:ascii="Arial" w:hAnsi="Arial" w:cs="Arial"/>
          <w:noProof/>
          <w:sz w:val="22"/>
          <w:szCs w:val="22"/>
          <w:lang w:eastAsia="en-GB"/>
        </w:rPr>
        <w:t>mula. PCI</w:t>
      </w:r>
      <w:r w:rsidR="00D80594">
        <w:rPr>
          <w:rFonts w:ascii="Arial" w:hAnsi="Arial" w:cs="Arial"/>
          <w:noProof/>
          <w:sz w:val="22"/>
          <w:szCs w:val="22"/>
          <w:lang w:eastAsia="en-GB"/>
        </w:rPr>
        <w:t>F</w:t>
      </w:r>
      <w:r w:rsidRPr="000E2DF1">
        <w:rPr>
          <w:rFonts w:ascii="Arial" w:hAnsi="Arial" w:cs="Arial"/>
          <w:noProof/>
          <w:sz w:val="22"/>
          <w:szCs w:val="22"/>
          <w:lang w:eastAsia="en-GB"/>
        </w:rPr>
        <w:t xml:space="preserve"> allocations are made via health boards to </w:t>
      </w:r>
      <w:r w:rsidR="00D80594">
        <w:rPr>
          <w:rFonts w:ascii="Arial" w:hAnsi="Arial" w:cs="Arial"/>
          <w:noProof/>
          <w:sz w:val="22"/>
          <w:szCs w:val="22"/>
          <w:lang w:eastAsia="en-GB"/>
        </w:rPr>
        <w:t xml:space="preserve">integration authorities to </w:t>
      </w:r>
      <w:r w:rsidRPr="000E2DF1">
        <w:rPr>
          <w:rFonts w:ascii="Arial" w:hAnsi="Arial" w:cs="Arial"/>
          <w:noProof/>
          <w:sz w:val="22"/>
          <w:szCs w:val="22"/>
          <w:lang w:eastAsia="en-GB"/>
        </w:rPr>
        <w:t>facilitate planning</w:t>
      </w:r>
      <w:r w:rsidR="00D80594">
        <w:rPr>
          <w:rFonts w:ascii="Arial" w:hAnsi="Arial" w:cs="Arial"/>
          <w:noProof/>
          <w:sz w:val="22"/>
          <w:szCs w:val="22"/>
          <w:lang w:eastAsia="en-GB"/>
        </w:rPr>
        <w:t>. A</w:t>
      </w:r>
      <w:r w:rsidRPr="000E2DF1">
        <w:rPr>
          <w:rFonts w:ascii="Arial" w:hAnsi="Arial" w:cs="Arial"/>
          <w:noProof/>
          <w:sz w:val="22"/>
          <w:szCs w:val="22"/>
          <w:lang w:eastAsia="en-GB"/>
        </w:rPr>
        <w:t xml:space="preserve">t the current time, NHS </w:t>
      </w:r>
      <w:r w:rsidR="004D3620">
        <w:rPr>
          <w:rFonts w:ascii="Arial" w:hAnsi="Arial" w:cs="Arial"/>
          <w:noProof/>
          <w:sz w:val="22"/>
          <w:szCs w:val="22"/>
          <w:lang w:eastAsia="en-GB"/>
        </w:rPr>
        <w:t>Borders’ NRAC proportion is 2.13</w:t>
      </w:r>
      <w:r w:rsidRPr="000E2DF1">
        <w:rPr>
          <w:rFonts w:ascii="Arial" w:hAnsi="Arial" w:cs="Arial"/>
          <w:noProof/>
          <w:sz w:val="22"/>
          <w:szCs w:val="22"/>
          <w:lang w:eastAsia="en-GB"/>
        </w:rPr>
        <w:t>% of the national quantum. As advised by the Scottish Government</w:t>
      </w:r>
      <w:r w:rsidR="00D80594">
        <w:rPr>
          <w:rFonts w:ascii="Arial" w:hAnsi="Arial" w:cs="Arial"/>
          <w:noProof/>
          <w:sz w:val="22"/>
          <w:szCs w:val="22"/>
          <w:lang w:eastAsia="en-GB"/>
        </w:rPr>
        <w:t xml:space="preserve">, in order the integration authorites can plan effectively, </w:t>
      </w:r>
      <w:r w:rsidR="00E82622" w:rsidRPr="000E2DF1">
        <w:rPr>
          <w:rFonts w:ascii="Arial" w:hAnsi="Arial" w:cs="Arial"/>
          <w:noProof/>
          <w:sz w:val="22"/>
          <w:szCs w:val="22"/>
          <w:lang w:eastAsia="en-GB"/>
        </w:rPr>
        <w:t xml:space="preserve">this funding is </w:t>
      </w:r>
      <w:r w:rsidR="00133FF1">
        <w:rPr>
          <w:rFonts w:ascii="Arial" w:hAnsi="Arial" w:cs="Arial"/>
          <w:noProof/>
          <w:sz w:val="22"/>
          <w:szCs w:val="22"/>
          <w:lang w:eastAsia="en-GB"/>
        </w:rPr>
        <w:t xml:space="preserve">to be treated as recurring, primarily </w:t>
      </w:r>
      <w:r w:rsidR="00E82622" w:rsidRPr="000E2DF1">
        <w:rPr>
          <w:rFonts w:ascii="Arial" w:hAnsi="Arial" w:cs="Arial"/>
          <w:noProof/>
          <w:sz w:val="22"/>
          <w:szCs w:val="22"/>
          <w:lang w:eastAsia="en-GB"/>
        </w:rPr>
        <w:t>to support permanent recruitment necessary to deliver the workstreams.</w:t>
      </w:r>
    </w:p>
    <w:p w:rsidR="00E82622" w:rsidRPr="000E2DF1" w:rsidRDefault="00E82622" w:rsidP="00AF3B99">
      <w:pPr>
        <w:pStyle w:val="ListParagraph"/>
        <w:spacing w:after="0" w:line="240" w:lineRule="auto"/>
        <w:ind w:left="0"/>
        <w:jc w:val="both"/>
        <w:rPr>
          <w:rFonts w:ascii="Arial" w:hAnsi="Arial" w:cs="Arial"/>
          <w:noProof/>
          <w:lang w:eastAsia="en-GB"/>
        </w:rPr>
      </w:pPr>
    </w:p>
    <w:p w:rsidR="00901250" w:rsidRPr="000E2DF1" w:rsidRDefault="00901250" w:rsidP="00AF3B99">
      <w:pPr>
        <w:pStyle w:val="ListParagraph"/>
        <w:spacing w:after="0" w:line="240" w:lineRule="auto"/>
        <w:ind w:left="0"/>
        <w:jc w:val="both"/>
        <w:rPr>
          <w:rFonts w:ascii="Arial" w:hAnsi="Arial" w:cs="Arial"/>
          <w:noProof/>
          <w:lang w:eastAsia="en-GB"/>
        </w:rPr>
      </w:pPr>
      <w:r w:rsidRPr="000E2DF1">
        <w:rPr>
          <w:rFonts w:ascii="Arial" w:hAnsi="Arial" w:cs="Arial"/>
          <w:noProof/>
          <w:lang w:eastAsia="en-GB"/>
        </w:rPr>
        <w:t xml:space="preserve">The financial framework and financial plan is one of the overarching </w:t>
      </w:r>
      <w:r w:rsidR="0074077E">
        <w:rPr>
          <w:rFonts w:ascii="Arial" w:hAnsi="Arial" w:cs="Arial"/>
          <w:noProof/>
          <w:lang w:eastAsia="en-GB"/>
        </w:rPr>
        <w:t>enablers</w:t>
      </w:r>
      <w:r w:rsidRPr="000E2DF1">
        <w:rPr>
          <w:rFonts w:ascii="Arial" w:hAnsi="Arial" w:cs="Arial"/>
          <w:noProof/>
          <w:lang w:eastAsia="en-GB"/>
        </w:rPr>
        <w:t xml:space="preserve"> to assist in the oversight and implementation of the PCIP. The funding</w:t>
      </w:r>
      <w:r w:rsidR="00C24901" w:rsidRPr="000E2DF1">
        <w:rPr>
          <w:rFonts w:ascii="Arial" w:hAnsi="Arial" w:cs="Arial"/>
          <w:noProof/>
          <w:lang w:eastAsia="en-GB"/>
        </w:rPr>
        <w:t xml:space="preserve"> is ringfenced and</w:t>
      </w:r>
      <w:r w:rsidR="00DA49F6">
        <w:rPr>
          <w:rFonts w:ascii="Arial" w:hAnsi="Arial" w:cs="Arial"/>
          <w:noProof/>
          <w:lang w:eastAsia="en-GB"/>
        </w:rPr>
        <w:t xml:space="preserve"> the Scottish Government re-emphasise that it must</w:t>
      </w:r>
      <w:r w:rsidRPr="000E2DF1">
        <w:rPr>
          <w:rFonts w:ascii="Arial" w:hAnsi="Arial" w:cs="Arial"/>
          <w:noProof/>
          <w:lang w:eastAsia="en-GB"/>
        </w:rPr>
        <w:t xml:space="preserve"> not </w:t>
      </w:r>
      <w:r w:rsidR="00DA49F6">
        <w:rPr>
          <w:rFonts w:ascii="Arial" w:hAnsi="Arial" w:cs="Arial"/>
          <w:noProof/>
          <w:lang w:eastAsia="en-GB"/>
        </w:rPr>
        <w:t xml:space="preserve">be </w:t>
      </w:r>
      <w:r w:rsidRPr="000E2DF1">
        <w:rPr>
          <w:rFonts w:ascii="Arial" w:hAnsi="Arial" w:cs="Arial"/>
          <w:noProof/>
          <w:lang w:eastAsia="en-GB"/>
        </w:rPr>
        <w:t xml:space="preserve">subject to general savings requirements and </w:t>
      </w:r>
      <w:r w:rsidR="00AE7D71" w:rsidRPr="000E2DF1">
        <w:rPr>
          <w:rFonts w:ascii="Arial" w:hAnsi="Arial" w:cs="Arial"/>
          <w:noProof/>
          <w:lang w:eastAsia="en-GB"/>
        </w:rPr>
        <w:t>can</w:t>
      </w:r>
      <w:r w:rsidRPr="000E2DF1">
        <w:rPr>
          <w:rFonts w:ascii="Arial" w:hAnsi="Arial" w:cs="Arial"/>
          <w:noProof/>
          <w:lang w:eastAsia="en-GB"/>
        </w:rPr>
        <w:t>not be used to address any wider funding pressures</w:t>
      </w:r>
      <w:r w:rsidR="00AE7D71" w:rsidRPr="000E2DF1">
        <w:rPr>
          <w:rFonts w:ascii="Arial" w:hAnsi="Arial" w:cs="Arial"/>
          <w:noProof/>
          <w:lang w:eastAsia="en-GB"/>
        </w:rPr>
        <w:t xml:space="preserve"> of the health board or integration joint board</w:t>
      </w:r>
      <w:r w:rsidR="00B27E9C">
        <w:rPr>
          <w:rFonts w:ascii="Arial" w:hAnsi="Arial" w:cs="Arial"/>
          <w:noProof/>
          <w:lang w:eastAsia="en-GB"/>
        </w:rPr>
        <w:t xml:space="preserve"> (IJB)</w:t>
      </w:r>
      <w:r w:rsidRPr="000E2DF1">
        <w:rPr>
          <w:rFonts w:ascii="Arial" w:hAnsi="Arial" w:cs="Arial"/>
          <w:noProof/>
          <w:lang w:eastAsia="en-GB"/>
        </w:rPr>
        <w:t>.</w:t>
      </w:r>
      <w:r w:rsidR="0074077E">
        <w:rPr>
          <w:rFonts w:ascii="Arial" w:hAnsi="Arial" w:cs="Arial"/>
          <w:noProof/>
          <w:lang w:eastAsia="en-GB"/>
        </w:rPr>
        <w:t xml:space="preserve"> Any allocated PCIF</w:t>
      </w:r>
      <w:r w:rsidR="00AE7D71" w:rsidRPr="000E2DF1">
        <w:rPr>
          <w:rFonts w:ascii="Arial" w:hAnsi="Arial" w:cs="Arial"/>
          <w:noProof/>
          <w:lang w:eastAsia="en-GB"/>
        </w:rPr>
        <w:t xml:space="preserve"> resource therefore, uncommitted at the end of each financial year, is carried forward by the IJB for targeted use in future financial years as part of PCIP planning and delivery.</w:t>
      </w:r>
    </w:p>
    <w:p w:rsidR="00901250" w:rsidRPr="000E2DF1" w:rsidRDefault="00901250" w:rsidP="00AF3B99">
      <w:pPr>
        <w:pStyle w:val="ListParagraph"/>
        <w:spacing w:after="0" w:line="240" w:lineRule="auto"/>
        <w:ind w:left="0"/>
        <w:jc w:val="both"/>
        <w:rPr>
          <w:rFonts w:ascii="Arial" w:hAnsi="Arial" w:cs="Arial"/>
          <w:noProof/>
          <w:lang w:eastAsia="en-GB"/>
        </w:rPr>
      </w:pPr>
    </w:p>
    <w:p w:rsidR="002C25B2" w:rsidRDefault="00AE7D71" w:rsidP="00AF3B99">
      <w:pPr>
        <w:pStyle w:val="ListParagraph"/>
        <w:spacing w:after="0" w:line="240" w:lineRule="auto"/>
        <w:ind w:left="0"/>
        <w:jc w:val="both"/>
        <w:rPr>
          <w:rFonts w:ascii="Arial" w:hAnsi="Arial" w:cs="Arial"/>
          <w:noProof/>
          <w:lang w:eastAsia="en-GB"/>
        </w:rPr>
      </w:pPr>
      <w:r w:rsidRPr="000E2DF1">
        <w:rPr>
          <w:rFonts w:ascii="Arial" w:hAnsi="Arial" w:cs="Arial"/>
          <w:noProof/>
          <w:lang w:eastAsia="en-GB"/>
        </w:rPr>
        <w:t xml:space="preserve">As the </w:t>
      </w:r>
      <w:r w:rsidR="0074077E">
        <w:rPr>
          <w:rFonts w:ascii="Arial" w:hAnsi="Arial" w:cs="Arial"/>
          <w:noProof/>
          <w:lang w:eastAsia="en-GB"/>
        </w:rPr>
        <w:t xml:space="preserve">PCIP </w:t>
      </w:r>
      <w:r w:rsidRPr="000E2DF1">
        <w:rPr>
          <w:rFonts w:ascii="Arial" w:hAnsi="Arial" w:cs="Arial"/>
          <w:noProof/>
          <w:lang w:eastAsia="en-GB"/>
        </w:rPr>
        <w:t xml:space="preserve">Executive is aware, the national </w:t>
      </w:r>
      <w:r w:rsidR="0056423C" w:rsidRPr="000E2DF1">
        <w:rPr>
          <w:rFonts w:ascii="Arial" w:hAnsi="Arial" w:cs="Arial"/>
          <w:noProof/>
          <w:lang w:eastAsia="en-GB"/>
        </w:rPr>
        <w:t xml:space="preserve">PCIP funding </w:t>
      </w:r>
      <w:r w:rsidRPr="000E2DF1">
        <w:rPr>
          <w:rFonts w:ascii="Arial" w:hAnsi="Arial" w:cs="Arial"/>
          <w:noProof/>
          <w:lang w:eastAsia="en-GB"/>
        </w:rPr>
        <w:t xml:space="preserve">quantum has grown </w:t>
      </w:r>
      <w:r w:rsidR="00032BD4" w:rsidRPr="000E2DF1">
        <w:rPr>
          <w:rFonts w:ascii="Arial" w:hAnsi="Arial" w:cs="Arial"/>
          <w:noProof/>
          <w:lang w:eastAsia="en-GB"/>
        </w:rPr>
        <w:t xml:space="preserve">from £55million </w:t>
      </w:r>
      <w:r w:rsidR="000E2DF1" w:rsidRPr="000E2DF1">
        <w:rPr>
          <w:rFonts w:ascii="Arial" w:hAnsi="Arial" w:cs="Arial"/>
          <w:noProof/>
          <w:lang w:eastAsia="en-GB"/>
        </w:rPr>
        <w:t xml:space="preserve">in 2019/20 </w:t>
      </w:r>
      <w:r w:rsidR="0051738D" w:rsidRPr="000E2DF1">
        <w:rPr>
          <w:rFonts w:ascii="Arial" w:hAnsi="Arial" w:cs="Arial"/>
          <w:noProof/>
          <w:lang w:eastAsia="en-GB"/>
        </w:rPr>
        <w:t>to £155 million in 2021-22</w:t>
      </w:r>
      <w:r w:rsidR="00032BD4" w:rsidRPr="000E2DF1">
        <w:rPr>
          <w:rFonts w:ascii="Arial" w:hAnsi="Arial" w:cs="Arial"/>
          <w:noProof/>
          <w:lang w:eastAsia="en-GB"/>
        </w:rPr>
        <w:t>.</w:t>
      </w:r>
      <w:r w:rsidR="000E2DF1" w:rsidRPr="000E2DF1">
        <w:rPr>
          <w:rFonts w:ascii="Arial" w:hAnsi="Arial" w:cs="Arial"/>
          <w:noProof/>
          <w:lang w:eastAsia="en-GB"/>
        </w:rPr>
        <w:t xml:space="preserve"> </w:t>
      </w:r>
      <w:r w:rsidR="004D3620">
        <w:rPr>
          <w:rFonts w:ascii="Arial" w:hAnsi="Arial" w:cs="Arial"/>
          <w:noProof/>
          <w:lang w:eastAsia="en-GB"/>
        </w:rPr>
        <w:t>Scottish Borders Integration Authority’s share of this funding</w:t>
      </w:r>
      <w:r w:rsidR="000E2DF1" w:rsidRPr="000E2DF1">
        <w:rPr>
          <w:rFonts w:ascii="Arial" w:hAnsi="Arial" w:cs="Arial"/>
          <w:noProof/>
          <w:lang w:eastAsia="en-GB"/>
        </w:rPr>
        <w:t xml:space="preserve"> has increased as a result from </w:t>
      </w:r>
      <w:r w:rsidR="000E2DF1" w:rsidRPr="005B76A2">
        <w:rPr>
          <w:rFonts w:ascii="Arial" w:hAnsi="Arial" w:cs="Arial"/>
          <w:b/>
          <w:noProof/>
          <w:color w:val="0070C0"/>
          <w:lang w:eastAsia="en-GB"/>
        </w:rPr>
        <w:t>£1.167m</w:t>
      </w:r>
      <w:r w:rsidR="000E2DF1" w:rsidRPr="000E2DF1">
        <w:rPr>
          <w:rFonts w:ascii="Arial" w:hAnsi="Arial" w:cs="Arial"/>
          <w:noProof/>
          <w:lang w:eastAsia="en-GB"/>
        </w:rPr>
        <w:t xml:space="preserve"> in 2019/20 to </w:t>
      </w:r>
      <w:r w:rsidR="000E2DF1" w:rsidRPr="005B76A2">
        <w:rPr>
          <w:rFonts w:ascii="Arial" w:hAnsi="Arial" w:cs="Arial"/>
          <w:b/>
          <w:noProof/>
          <w:color w:val="0070C0"/>
          <w:lang w:eastAsia="en-GB"/>
        </w:rPr>
        <w:t>£3.2</w:t>
      </w:r>
      <w:r w:rsidR="00280253">
        <w:rPr>
          <w:rFonts w:ascii="Arial" w:hAnsi="Arial" w:cs="Arial"/>
          <w:b/>
          <w:noProof/>
          <w:color w:val="0070C0"/>
          <w:lang w:eastAsia="en-GB"/>
        </w:rPr>
        <w:t>96</w:t>
      </w:r>
      <w:r w:rsidR="000E2DF1" w:rsidRPr="005B76A2">
        <w:rPr>
          <w:rFonts w:ascii="Arial" w:hAnsi="Arial" w:cs="Arial"/>
          <w:b/>
          <w:noProof/>
          <w:color w:val="0070C0"/>
          <w:lang w:eastAsia="en-GB"/>
        </w:rPr>
        <w:t>m</w:t>
      </w:r>
      <w:r w:rsidR="000E2DF1" w:rsidRPr="000E2DF1">
        <w:rPr>
          <w:rFonts w:ascii="Arial" w:hAnsi="Arial" w:cs="Arial"/>
          <w:noProof/>
          <w:lang w:eastAsia="en-GB"/>
        </w:rPr>
        <w:t xml:space="preserve"> in 2021/22</w:t>
      </w:r>
      <w:r w:rsidR="00280253">
        <w:rPr>
          <w:rFonts w:ascii="Arial" w:hAnsi="Arial" w:cs="Arial"/>
          <w:noProof/>
          <w:lang w:eastAsia="en-GB"/>
        </w:rPr>
        <w:t>, representing 2.13% share of the national allocation</w:t>
      </w:r>
      <w:r w:rsidR="000E2DF1" w:rsidRPr="000E2DF1">
        <w:rPr>
          <w:rFonts w:ascii="Arial" w:hAnsi="Arial" w:cs="Arial"/>
          <w:noProof/>
          <w:lang w:eastAsia="en-GB"/>
        </w:rPr>
        <w:t>.</w:t>
      </w:r>
      <w:r w:rsidR="00280253">
        <w:rPr>
          <w:rFonts w:ascii="Arial" w:hAnsi="Arial" w:cs="Arial"/>
          <w:noProof/>
          <w:lang w:eastAsia="en-GB"/>
        </w:rPr>
        <w:t xml:space="preserve"> This has been confirmed in the Annual Funding Letter 2021/22 issued by the Scottish Government on 29 June 2021.</w:t>
      </w:r>
      <w:r w:rsidR="00B27E9C">
        <w:rPr>
          <w:rFonts w:ascii="Arial" w:hAnsi="Arial" w:cs="Arial"/>
          <w:noProof/>
          <w:lang w:eastAsia="en-GB"/>
        </w:rPr>
        <w:t xml:space="preserve"> £155m nationally relates to the Primary Care Improvement Fund component of the wider £250m Primary Care Fund investment </w:t>
      </w:r>
      <w:r w:rsidR="0074077E">
        <w:rPr>
          <w:rFonts w:ascii="Arial" w:hAnsi="Arial" w:cs="Arial"/>
          <w:noProof/>
          <w:lang w:eastAsia="en-GB"/>
        </w:rPr>
        <w:t xml:space="preserve">planned </w:t>
      </w:r>
      <w:r w:rsidR="00B27E9C">
        <w:rPr>
          <w:rFonts w:ascii="Arial" w:hAnsi="Arial" w:cs="Arial"/>
          <w:noProof/>
          <w:lang w:eastAsia="en-GB"/>
        </w:rPr>
        <w:t>by the Scottish Government in 2021/22.</w:t>
      </w:r>
    </w:p>
    <w:p w:rsidR="00B27E9C" w:rsidRDefault="00B27E9C" w:rsidP="00AF3B99">
      <w:pPr>
        <w:pStyle w:val="ListParagraph"/>
        <w:spacing w:after="0" w:line="240" w:lineRule="auto"/>
        <w:ind w:left="0"/>
        <w:jc w:val="both"/>
        <w:rPr>
          <w:rFonts w:ascii="Arial" w:hAnsi="Arial" w:cs="Arial"/>
          <w:noProof/>
          <w:lang w:eastAsia="en-GB"/>
        </w:rPr>
      </w:pPr>
    </w:p>
    <w:p w:rsidR="00B27E9C" w:rsidRPr="000E2DF1" w:rsidRDefault="00B27E9C" w:rsidP="00AF3B99">
      <w:pPr>
        <w:pStyle w:val="ListParagraph"/>
        <w:spacing w:after="0" w:line="240" w:lineRule="auto"/>
        <w:ind w:left="0"/>
        <w:jc w:val="both"/>
        <w:rPr>
          <w:rFonts w:ascii="Arial" w:hAnsi="Arial" w:cs="Arial"/>
          <w:noProof/>
          <w:lang w:eastAsia="en-GB"/>
        </w:rPr>
      </w:pPr>
      <w:r>
        <w:rPr>
          <w:rFonts w:ascii="Arial" w:hAnsi="Arial" w:cs="Arial"/>
          <w:noProof/>
          <w:lang w:eastAsia="en-GB"/>
        </w:rPr>
        <w:t xml:space="preserve">Whilst earmarked recurring currently, the Scottish Government has confirmed that they expect PCIP funding to </w:t>
      </w:r>
      <w:r w:rsidR="0074077E">
        <w:rPr>
          <w:rFonts w:ascii="Arial" w:hAnsi="Arial" w:cs="Arial"/>
          <w:noProof/>
          <w:lang w:eastAsia="en-GB"/>
        </w:rPr>
        <w:t xml:space="preserve">continue beyond </w:t>
      </w:r>
      <w:r>
        <w:rPr>
          <w:rFonts w:ascii="Arial" w:hAnsi="Arial" w:cs="Arial"/>
          <w:noProof/>
          <w:lang w:eastAsia="en-GB"/>
        </w:rPr>
        <w:t>this financial year and will write to health boards and health and social care partnership IJB</w:t>
      </w:r>
      <w:r w:rsidR="0074077E">
        <w:rPr>
          <w:rFonts w:ascii="Arial" w:hAnsi="Arial" w:cs="Arial"/>
          <w:noProof/>
          <w:lang w:eastAsia="en-GB"/>
        </w:rPr>
        <w:t>s</w:t>
      </w:r>
      <w:r>
        <w:rPr>
          <w:rFonts w:ascii="Arial" w:hAnsi="Arial" w:cs="Arial"/>
          <w:noProof/>
          <w:lang w:eastAsia="en-GB"/>
        </w:rPr>
        <w:t xml:space="preserve"> in due course confirming this. They have also reaffirmed that the </w:t>
      </w:r>
      <w:r w:rsidRPr="00B27E9C">
        <w:rPr>
          <w:rFonts w:ascii="Arial" w:hAnsi="Arial" w:cs="Arial"/>
          <w:noProof/>
          <w:lang w:eastAsia="en-GB"/>
        </w:rPr>
        <w:t xml:space="preserve"> funds should continue to be used to deliver the priority services set out in the Memorandum of Understanding</w:t>
      </w:r>
      <w:r w:rsidR="0074077E">
        <w:rPr>
          <w:rFonts w:ascii="Arial" w:hAnsi="Arial" w:cs="Arial"/>
          <w:noProof/>
          <w:lang w:eastAsia="en-GB"/>
        </w:rPr>
        <w:t xml:space="preserve"> (Mo</w:t>
      </w:r>
      <w:r>
        <w:rPr>
          <w:rFonts w:ascii="Arial" w:hAnsi="Arial" w:cs="Arial"/>
          <w:noProof/>
          <w:lang w:eastAsia="en-GB"/>
        </w:rPr>
        <w:t>U).</w:t>
      </w:r>
    </w:p>
    <w:p w:rsidR="00B54239" w:rsidRPr="00AE7D71" w:rsidRDefault="00B54239" w:rsidP="00AF3B99">
      <w:pPr>
        <w:pStyle w:val="ListParagraph"/>
        <w:spacing w:after="0" w:line="240" w:lineRule="auto"/>
        <w:ind w:left="0"/>
        <w:jc w:val="both"/>
        <w:rPr>
          <w:rFonts w:ascii="Arial" w:hAnsi="Arial" w:cs="Arial"/>
          <w:noProof/>
          <w:highlight w:val="yellow"/>
          <w:lang w:eastAsia="en-GB"/>
        </w:rPr>
      </w:pPr>
    </w:p>
    <w:p w:rsidR="00B54239" w:rsidRPr="00AE7D71" w:rsidRDefault="00B54239" w:rsidP="00AF3B99">
      <w:pPr>
        <w:pStyle w:val="ListParagraph"/>
        <w:spacing w:after="0" w:line="240" w:lineRule="auto"/>
        <w:ind w:left="0"/>
        <w:jc w:val="both"/>
        <w:rPr>
          <w:rFonts w:ascii="Arial" w:hAnsi="Arial" w:cs="Arial"/>
          <w:noProof/>
          <w:highlight w:val="yellow"/>
          <w:lang w:eastAsia="en-GB"/>
        </w:rPr>
      </w:pPr>
    </w:p>
    <w:p w:rsidR="003A165F" w:rsidRPr="000E7CDF" w:rsidRDefault="007E16B3" w:rsidP="00AF3B99">
      <w:pPr>
        <w:pStyle w:val="ListParagraph"/>
        <w:spacing w:after="0" w:line="240" w:lineRule="auto"/>
        <w:ind w:left="0"/>
        <w:jc w:val="both"/>
        <w:rPr>
          <w:rFonts w:ascii="Arial" w:hAnsi="Arial" w:cs="Arial"/>
          <w:b/>
          <w:noProof/>
          <w:lang w:eastAsia="en-GB"/>
        </w:rPr>
      </w:pPr>
      <w:r w:rsidRPr="000E7CDF">
        <w:rPr>
          <w:rFonts w:ascii="Arial" w:hAnsi="Arial" w:cs="Arial"/>
          <w:b/>
          <w:noProof/>
          <w:lang w:eastAsia="en-GB"/>
        </w:rPr>
        <w:lastRenderedPageBreak/>
        <w:t xml:space="preserve">PCIP </w:t>
      </w:r>
      <w:r w:rsidR="000E7CDF" w:rsidRPr="000E7CDF">
        <w:rPr>
          <w:rFonts w:ascii="Arial" w:hAnsi="Arial" w:cs="Arial"/>
          <w:b/>
          <w:noProof/>
          <w:lang w:eastAsia="en-GB"/>
        </w:rPr>
        <w:t>Recurring Funding Expenditure Position at 3</w:t>
      </w:r>
      <w:r w:rsidR="00187D8B">
        <w:rPr>
          <w:rFonts w:ascii="Arial" w:hAnsi="Arial" w:cs="Arial"/>
          <w:b/>
          <w:noProof/>
          <w:lang w:eastAsia="en-GB"/>
        </w:rPr>
        <w:t>1</w:t>
      </w:r>
      <w:r w:rsidR="000E7CDF" w:rsidRPr="000E7CDF">
        <w:rPr>
          <w:rFonts w:ascii="Arial" w:hAnsi="Arial" w:cs="Arial"/>
          <w:b/>
          <w:noProof/>
          <w:lang w:eastAsia="en-GB"/>
        </w:rPr>
        <w:t xml:space="preserve"> May 2021</w:t>
      </w:r>
    </w:p>
    <w:p w:rsidR="007E16B3" w:rsidRPr="00AE7D71" w:rsidRDefault="007E16B3" w:rsidP="00AF3B99">
      <w:pPr>
        <w:pStyle w:val="ListParagraph"/>
        <w:spacing w:after="0" w:line="240" w:lineRule="auto"/>
        <w:ind w:left="0"/>
        <w:jc w:val="both"/>
        <w:rPr>
          <w:rFonts w:ascii="Arial" w:hAnsi="Arial" w:cs="Arial"/>
          <w:noProof/>
          <w:highlight w:val="yellow"/>
          <w:lang w:eastAsia="en-GB"/>
        </w:rPr>
      </w:pPr>
    </w:p>
    <w:p w:rsidR="00B72D03" w:rsidRDefault="000E7CDF" w:rsidP="00AF3B99">
      <w:pPr>
        <w:pStyle w:val="ListParagraph"/>
        <w:spacing w:after="0" w:line="240" w:lineRule="auto"/>
        <w:ind w:left="0"/>
        <w:jc w:val="both"/>
        <w:rPr>
          <w:rFonts w:ascii="Arial" w:hAnsi="Arial" w:cs="Arial"/>
          <w:noProof/>
          <w:lang w:eastAsia="en-GB"/>
        </w:rPr>
      </w:pPr>
      <w:r w:rsidRPr="000E7CDF">
        <w:rPr>
          <w:rFonts w:ascii="Arial" w:hAnsi="Arial" w:cs="Arial"/>
          <w:noProof/>
          <w:lang w:eastAsia="en-GB"/>
        </w:rPr>
        <w:t xml:space="preserve">Whilst the PCIP funding allocation is currently earmarked recurring it is to be treated as recurring and as outlined above, the 2021/22 allocation to Borders is </w:t>
      </w:r>
      <w:r w:rsidR="00280253">
        <w:rPr>
          <w:rFonts w:ascii="Arial" w:hAnsi="Arial" w:cs="Arial"/>
          <w:b/>
          <w:noProof/>
          <w:color w:val="0070C0"/>
          <w:lang w:eastAsia="en-GB"/>
        </w:rPr>
        <w:t>£3.296</w:t>
      </w:r>
      <w:r w:rsidRPr="007230EB">
        <w:rPr>
          <w:rFonts w:ascii="Arial" w:hAnsi="Arial" w:cs="Arial"/>
          <w:b/>
          <w:noProof/>
          <w:color w:val="0070C0"/>
          <w:lang w:eastAsia="en-GB"/>
        </w:rPr>
        <w:t>m</w:t>
      </w:r>
      <w:r w:rsidRPr="000E7CDF">
        <w:rPr>
          <w:rFonts w:ascii="Arial" w:hAnsi="Arial" w:cs="Arial"/>
          <w:noProof/>
          <w:lang w:eastAsia="en-GB"/>
        </w:rPr>
        <w:t>.</w:t>
      </w:r>
      <w:r>
        <w:rPr>
          <w:rFonts w:ascii="Arial" w:hAnsi="Arial" w:cs="Arial"/>
          <w:noProof/>
          <w:lang w:eastAsia="en-GB"/>
        </w:rPr>
        <w:t xml:space="preserve"> This may be further supplemented by non-recurring resource either via uncommitted allocations from previous years brought forward </w:t>
      </w:r>
      <w:r w:rsidR="0074077E">
        <w:rPr>
          <w:rFonts w:ascii="Arial" w:hAnsi="Arial" w:cs="Arial"/>
          <w:noProof/>
          <w:lang w:eastAsia="en-GB"/>
        </w:rPr>
        <w:t>or</w:t>
      </w:r>
      <w:r>
        <w:rPr>
          <w:rFonts w:ascii="Arial" w:hAnsi="Arial" w:cs="Arial"/>
          <w:noProof/>
          <w:lang w:eastAsia="en-GB"/>
        </w:rPr>
        <w:t xml:space="preserve"> additional non-recurring allocations from the the Scottish Government</w:t>
      </w:r>
      <w:r w:rsidR="0074077E">
        <w:rPr>
          <w:rFonts w:ascii="Arial" w:hAnsi="Arial" w:cs="Arial"/>
          <w:noProof/>
          <w:lang w:eastAsia="en-GB"/>
        </w:rPr>
        <w:t xml:space="preserve"> in-year</w:t>
      </w:r>
      <w:r>
        <w:rPr>
          <w:rFonts w:ascii="Arial" w:hAnsi="Arial" w:cs="Arial"/>
          <w:noProof/>
          <w:lang w:eastAsia="en-GB"/>
        </w:rPr>
        <w:t>.</w:t>
      </w:r>
    </w:p>
    <w:p w:rsidR="000E7CDF" w:rsidRDefault="000E7CDF" w:rsidP="00AF3B99">
      <w:pPr>
        <w:pStyle w:val="ListParagraph"/>
        <w:spacing w:after="0" w:line="240" w:lineRule="auto"/>
        <w:ind w:left="0"/>
        <w:jc w:val="both"/>
        <w:rPr>
          <w:rFonts w:ascii="Arial" w:hAnsi="Arial" w:cs="Arial"/>
          <w:noProof/>
          <w:lang w:eastAsia="en-GB"/>
        </w:rPr>
      </w:pPr>
    </w:p>
    <w:p w:rsidR="000E7CDF" w:rsidRPr="000E7CDF" w:rsidRDefault="000E7CDF" w:rsidP="00AF3B99">
      <w:pPr>
        <w:pStyle w:val="ListParagraph"/>
        <w:spacing w:after="0" w:line="240" w:lineRule="auto"/>
        <w:ind w:left="0"/>
        <w:jc w:val="both"/>
        <w:rPr>
          <w:rFonts w:ascii="Arial" w:hAnsi="Arial" w:cs="Arial"/>
          <w:noProof/>
          <w:lang w:eastAsia="en-GB"/>
        </w:rPr>
      </w:pPr>
      <w:r>
        <w:rPr>
          <w:rFonts w:ascii="Arial" w:hAnsi="Arial" w:cs="Arial"/>
          <w:noProof/>
          <w:lang w:eastAsia="en-GB"/>
        </w:rPr>
        <w:t>A summary of the</w:t>
      </w:r>
      <w:r w:rsidR="00253965">
        <w:rPr>
          <w:rFonts w:ascii="Arial" w:hAnsi="Arial" w:cs="Arial"/>
          <w:noProof/>
          <w:lang w:eastAsia="en-GB"/>
        </w:rPr>
        <w:t xml:space="preserve"> how the PCIP Executive has planned to deliver </w:t>
      </w:r>
      <w:r w:rsidR="0074077E">
        <w:rPr>
          <w:rFonts w:ascii="Arial" w:hAnsi="Arial" w:cs="Arial"/>
          <w:noProof/>
          <w:lang w:eastAsia="en-GB"/>
        </w:rPr>
        <w:t xml:space="preserve">its </w:t>
      </w:r>
      <w:r w:rsidR="00253965">
        <w:rPr>
          <w:rFonts w:ascii="Arial" w:hAnsi="Arial" w:cs="Arial"/>
          <w:noProof/>
          <w:lang w:eastAsia="en-GB"/>
        </w:rPr>
        <w:t>PCIP through the direction of resource to each component workstream, together with the actual and forecast expenditure position at 31</w:t>
      </w:r>
      <w:r w:rsidR="00253965" w:rsidRPr="00253965">
        <w:rPr>
          <w:rFonts w:ascii="Arial" w:hAnsi="Arial" w:cs="Arial"/>
          <w:noProof/>
          <w:vertAlign w:val="superscript"/>
          <w:lang w:eastAsia="en-GB"/>
        </w:rPr>
        <w:t>st</w:t>
      </w:r>
      <w:r w:rsidR="00253965">
        <w:rPr>
          <w:rFonts w:ascii="Arial" w:hAnsi="Arial" w:cs="Arial"/>
          <w:noProof/>
          <w:lang w:eastAsia="en-GB"/>
        </w:rPr>
        <w:t xml:space="preserve"> May 2021, is detailed in the table below:</w:t>
      </w:r>
    </w:p>
    <w:p w:rsidR="00833123" w:rsidRPr="00AE7D71" w:rsidRDefault="00833123" w:rsidP="00AF3B99">
      <w:pPr>
        <w:pStyle w:val="ListParagraph"/>
        <w:spacing w:after="0" w:line="240" w:lineRule="auto"/>
        <w:ind w:left="0"/>
        <w:jc w:val="both"/>
        <w:rPr>
          <w:rFonts w:ascii="Arial" w:hAnsi="Arial" w:cs="Arial"/>
          <w:b/>
          <w:noProof/>
          <w:highlight w:val="yellow"/>
          <w:lang w:eastAsia="en-GB"/>
        </w:rPr>
      </w:pPr>
    </w:p>
    <w:p w:rsidR="005C5D6C" w:rsidRPr="00AE7D71" w:rsidRDefault="005C5D6C" w:rsidP="00AF3B99">
      <w:pPr>
        <w:pStyle w:val="ListParagraph"/>
        <w:spacing w:after="0" w:line="240" w:lineRule="auto"/>
        <w:ind w:left="0"/>
        <w:jc w:val="both"/>
        <w:rPr>
          <w:rFonts w:ascii="Arial" w:hAnsi="Arial" w:cs="Arial"/>
          <w:b/>
          <w:noProof/>
          <w:highlight w:val="yellow"/>
          <w:lang w:eastAsia="en-GB"/>
        </w:rPr>
      </w:pPr>
    </w:p>
    <w:p w:rsidR="004D7C5F" w:rsidRPr="00187D8B" w:rsidRDefault="008B2923" w:rsidP="00AF3B99">
      <w:pPr>
        <w:pStyle w:val="ListParagraph"/>
        <w:spacing w:after="0" w:line="240" w:lineRule="auto"/>
        <w:ind w:left="0"/>
        <w:jc w:val="both"/>
        <w:rPr>
          <w:rFonts w:ascii="Arial" w:hAnsi="Arial" w:cs="Arial"/>
          <w:b/>
          <w:noProof/>
          <w:lang w:eastAsia="en-GB"/>
        </w:rPr>
      </w:pPr>
      <w:r w:rsidRPr="00187D8B">
        <w:rPr>
          <w:rFonts w:ascii="Arial" w:hAnsi="Arial" w:cs="Arial"/>
          <w:b/>
          <w:noProof/>
          <w:lang w:eastAsia="en-GB"/>
        </w:rPr>
        <w:t xml:space="preserve">FINANCE TABLE - </w:t>
      </w:r>
      <w:r w:rsidR="004D7C5F" w:rsidRPr="00187D8B">
        <w:rPr>
          <w:rFonts w:ascii="Arial" w:hAnsi="Arial" w:cs="Arial"/>
          <w:b/>
          <w:noProof/>
          <w:lang w:eastAsia="en-GB"/>
        </w:rPr>
        <w:t xml:space="preserve">PCIP SPENDING PLAN – FINANCIAL POSITION AS AT </w:t>
      </w:r>
      <w:r w:rsidR="00187D8B" w:rsidRPr="00187D8B">
        <w:rPr>
          <w:rFonts w:ascii="Arial" w:hAnsi="Arial" w:cs="Arial"/>
          <w:b/>
          <w:noProof/>
          <w:lang w:eastAsia="en-GB"/>
        </w:rPr>
        <w:t>31</w:t>
      </w:r>
      <w:r w:rsidR="00187D8B" w:rsidRPr="00187D8B">
        <w:rPr>
          <w:rFonts w:ascii="Arial" w:hAnsi="Arial" w:cs="Arial"/>
          <w:b/>
          <w:noProof/>
          <w:vertAlign w:val="superscript"/>
          <w:lang w:eastAsia="en-GB"/>
        </w:rPr>
        <w:t xml:space="preserve"> </w:t>
      </w:r>
      <w:r w:rsidR="00187D8B" w:rsidRPr="00187D8B">
        <w:rPr>
          <w:rFonts w:ascii="Arial" w:hAnsi="Arial" w:cs="Arial"/>
          <w:b/>
          <w:noProof/>
          <w:lang w:eastAsia="en-GB"/>
        </w:rPr>
        <w:t>MAY 2021</w:t>
      </w:r>
    </w:p>
    <w:p w:rsidR="004D7C5F" w:rsidRPr="00AE7D71" w:rsidRDefault="004D7C5F" w:rsidP="00AF3B99">
      <w:pPr>
        <w:pStyle w:val="ListParagraph"/>
        <w:spacing w:after="0" w:line="240" w:lineRule="auto"/>
        <w:ind w:left="0"/>
        <w:jc w:val="both"/>
        <w:rPr>
          <w:rFonts w:ascii="Arial" w:hAnsi="Arial" w:cs="Arial"/>
          <w:b/>
          <w:noProof/>
          <w:highlight w:val="yellow"/>
          <w:lang w:eastAsia="en-GB"/>
        </w:rPr>
      </w:pPr>
    </w:p>
    <w:tbl>
      <w:tblPr>
        <w:tblW w:w="11580" w:type="dxa"/>
        <w:jc w:val="center"/>
        <w:tblInd w:w="96" w:type="dxa"/>
        <w:tblLook w:val="04A0"/>
      </w:tblPr>
      <w:tblGrid>
        <w:gridCol w:w="3000"/>
        <w:gridCol w:w="1940"/>
        <w:gridCol w:w="275"/>
        <w:gridCol w:w="2080"/>
        <w:gridCol w:w="2080"/>
        <w:gridCol w:w="275"/>
        <w:gridCol w:w="2080"/>
      </w:tblGrid>
      <w:tr w:rsidR="00280253" w:rsidRPr="00280253" w:rsidTr="00280253">
        <w:trPr>
          <w:trHeight w:val="372"/>
          <w:jc w:val="center"/>
        </w:trPr>
        <w:tc>
          <w:tcPr>
            <w:tcW w:w="30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1940" w:type="dxa"/>
            <w:tcBorders>
              <w:top w:val="single" w:sz="4" w:space="0" w:color="auto"/>
              <w:left w:val="single" w:sz="4" w:space="0" w:color="auto"/>
              <w:bottom w:val="nil"/>
              <w:right w:val="single" w:sz="4" w:space="0" w:color="auto"/>
            </w:tcBorders>
            <w:shd w:val="clear" w:color="000000" w:fill="FFFFFF"/>
            <w:noWrap/>
            <w:vAlign w:val="bottom"/>
            <w:hideMark/>
          </w:tcPr>
          <w:p w:rsidR="00280253" w:rsidRPr="00280253" w:rsidRDefault="00280253" w:rsidP="00280253">
            <w:pPr>
              <w:jc w:val="center"/>
              <w:rPr>
                <w:rFonts w:ascii="Arial" w:hAnsi="Arial" w:cs="Arial"/>
                <w:b/>
                <w:bCs/>
                <w:color w:val="000000"/>
                <w:sz w:val="21"/>
                <w:szCs w:val="21"/>
                <w:lang w:eastAsia="en-GB"/>
              </w:rPr>
            </w:pPr>
            <w:r w:rsidRPr="00280253">
              <w:rPr>
                <w:rFonts w:ascii="Arial" w:hAnsi="Arial" w:cs="Arial"/>
                <w:b/>
                <w:bCs/>
                <w:color w:val="000000"/>
                <w:sz w:val="21"/>
                <w:szCs w:val="21"/>
                <w:lang w:eastAsia="en-GB"/>
              </w:rPr>
              <w:t>PCIP 3-Year</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single" w:sz="4" w:space="0" w:color="auto"/>
              <w:left w:val="single" w:sz="4" w:space="0" w:color="auto"/>
              <w:bottom w:val="nil"/>
              <w:right w:val="nil"/>
            </w:tcBorders>
            <w:shd w:val="clear" w:color="000000" w:fill="FFFFFF"/>
            <w:noWrap/>
            <w:vAlign w:val="bottom"/>
            <w:hideMark/>
          </w:tcPr>
          <w:p w:rsidR="00280253" w:rsidRPr="00280253" w:rsidRDefault="00280253" w:rsidP="00280253">
            <w:pPr>
              <w:jc w:val="center"/>
              <w:rPr>
                <w:rFonts w:ascii="Arial" w:hAnsi="Arial" w:cs="Arial"/>
                <w:b/>
                <w:bCs/>
                <w:color w:val="000000"/>
                <w:sz w:val="21"/>
                <w:szCs w:val="21"/>
                <w:lang w:eastAsia="en-GB"/>
              </w:rPr>
            </w:pPr>
            <w:r w:rsidRPr="00280253">
              <w:rPr>
                <w:rFonts w:ascii="Arial" w:hAnsi="Arial" w:cs="Arial"/>
                <w:b/>
                <w:bCs/>
                <w:color w:val="000000"/>
                <w:sz w:val="21"/>
                <w:szCs w:val="21"/>
                <w:lang w:eastAsia="en-GB"/>
              </w:rPr>
              <w:t>Actual</w:t>
            </w:r>
          </w:p>
        </w:tc>
        <w:tc>
          <w:tcPr>
            <w:tcW w:w="2080" w:type="dxa"/>
            <w:tcBorders>
              <w:top w:val="single" w:sz="4" w:space="0" w:color="auto"/>
              <w:left w:val="nil"/>
              <w:bottom w:val="nil"/>
              <w:right w:val="single" w:sz="4" w:space="0" w:color="auto"/>
            </w:tcBorders>
            <w:shd w:val="clear" w:color="000000" w:fill="FFFFFF"/>
            <w:noWrap/>
            <w:vAlign w:val="bottom"/>
            <w:hideMark/>
          </w:tcPr>
          <w:p w:rsidR="00280253" w:rsidRPr="00280253" w:rsidRDefault="00280253" w:rsidP="00280253">
            <w:pPr>
              <w:jc w:val="center"/>
              <w:rPr>
                <w:rFonts w:ascii="Arial" w:hAnsi="Arial" w:cs="Arial"/>
                <w:b/>
                <w:bCs/>
                <w:color w:val="000000"/>
                <w:sz w:val="21"/>
                <w:szCs w:val="21"/>
                <w:lang w:eastAsia="en-GB"/>
              </w:rPr>
            </w:pPr>
            <w:r w:rsidRPr="00280253">
              <w:rPr>
                <w:rFonts w:ascii="Arial" w:hAnsi="Arial" w:cs="Arial"/>
                <w:b/>
                <w:bCs/>
                <w:color w:val="000000"/>
                <w:sz w:val="21"/>
                <w:szCs w:val="21"/>
                <w:lang w:eastAsia="en-GB"/>
              </w:rPr>
              <w:t>Forecast</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jc w:val="center"/>
              <w:rPr>
                <w:rFonts w:ascii="Arial" w:hAnsi="Arial" w:cs="Arial"/>
                <w:b/>
                <w:bCs/>
                <w:color w:val="000000"/>
                <w:sz w:val="21"/>
                <w:szCs w:val="21"/>
                <w:lang w:eastAsia="en-GB"/>
              </w:rPr>
            </w:pPr>
            <w:r w:rsidRPr="00280253">
              <w:rPr>
                <w:rFonts w:ascii="Arial" w:hAnsi="Arial" w:cs="Arial"/>
                <w:b/>
                <w:bCs/>
                <w:color w:val="000000"/>
                <w:sz w:val="21"/>
                <w:szCs w:val="21"/>
                <w:lang w:eastAsia="en-GB"/>
              </w:rPr>
              <w:t> </w:t>
            </w:r>
          </w:p>
        </w:tc>
        <w:tc>
          <w:tcPr>
            <w:tcW w:w="2080" w:type="dxa"/>
            <w:tcBorders>
              <w:top w:val="single" w:sz="4" w:space="0" w:color="auto"/>
              <w:left w:val="single" w:sz="4" w:space="0" w:color="auto"/>
              <w:bottom w:val="nil"/>
              <w:right w:val="single" w:sz="4" w:space="0" w:color="auto"/>
            </w:tcBorders>
            <w:shd w:val="clear" w:color="000000" w:fill="FFFFFF"/>
            <w:noWrap/>
            <w:vAlign w:val="bottom"/>
            <w:hideMark/>
          </w:tcPr>
          <w:p w:rsidR="00280253" w:rsidRPr="00280253" w:rsidRDefault="00280253" w:rsidP="00280253">
            <w:pPr>
              <w:jc w:val="center"/>
              <w:rPr>
                <w:rFonts w:ascii="Arial" w:hAnsi="Arial" w:cs="Arial"/>
                <w:b/>
                <w:bCs/>
                <w:color w:val="000000"/>
                <w:sz w:val="21"/>
                <w:szCs w:val="21"/>
                <w:lang w:eastAsia="en-GB"/>
              </w:rPr>
            </w:pPr>
            <w:r w:rsidRPr="00280253">
              <w:rPr>
                <w:rFonts w:ascii="Arial" w:hAnsi="Arial" w:cs="Arial"/>
                <w:b/>
                <w:bCs/>
                <w:color w:val="000000"/>
                <w:sz w:val="21"/>
                <w:szCs w:val="21"/>
                <w:lang w:eastAsia="en-GB"/>
              </w:rPr>
              <w:t>Surplus / Slippage</w:t>
            </w:r>
          </w:p>
        </w:tc>
      </w:tr>
      <w:tr w:rsidR="00280253" w:rsidRPr="00280253" w:rsidTr="00280253">
        <w:trPr>
          <w:trHeight w:val="372"/>
          <w:jc w:val="center"/>
        </w:trPr>
        <w:tc>
          <w:tcPr>
            <w:tcW w:w="30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194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jc w:val="center"/>
              <w:rPr>
                <w:rFonts w:ascii="Arial" w:hAnsi="Arial" w:cs="Arial"/>
                <w:b/>
                <w:bCs/>
                <w:color w:val="000000"/>
                <w:sz w:val="21"/>
                <w:szCs w:val="21"/>
                <w:lang w:eastAsia="en-GB"/>
              </w:rPr>
            </w:pPr>
            <w:r w:rsidRPr="00280253">
              <w:rPr>
                <w:rFonts w:ascii="Arial" w:hAnsi="Arial" w:cs="Arial"/>
                <w:b/>
                <w:bCs/>
                <w:color w:val="000000"/>
                <w:sz w:val="21"/>
                <w:szCs w:val="21"/>
                <w:lang w:eastAsia="en-GB"/>
              </w:rPr>
              <w:t>Recurring</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nil"/>
            </w:tcBorders>
            <w:shd w:val="clear" w:color="000000" w:fill="FFFFFF"/>
            <w:noWrap/>
            <w:vAlign w:val="bottom"/>
            <w:hideMark/>
          </w:tcPr>
          <w:p w:rsidR="00280253" w:rsidRPr="00280253" w:rsidRDefault="00280253" w:rsidP="00280253">
            <w:pPr>
              <w:jc w:val="center"/>
              <w:rPr>
                <w:rFonts w:ascii="Arial" w:hAnsi="Arial" w:cs="Arial"/>
                <w:b/>
                <w:bCs/>
                <w:color w:val="000000"/>
                <w:sz w:val="21"/>
                <w:szCs w:val="21"/>
                <w:lang w:eastAsia="en-GB"/>
              </w:rPr>
            </w:pPr>
            <w:r w:rsidRPr="00280253">
              <w:rPr>
                <w:rFonts w:ascii="Arial" w:hAnsi="Arial" w:cs="Arial"/>
                <w:b/>
                <w:bCs/>
                <w:color w:val="000000"/>
                <w:sz w:val="21"/>
                <w:szCs w:val="21"/>
                <w:lang w:eastAsia="en-GB"/>
              </w:rPr>
              <w:t>Expenditure</w:t>
            </w:r>
          </w:p>
        </w:tc>
        <w:tc>
          <w:tcPr>
            <w:tcW w:w="2080" w:type="dxa"/>
            <w:tcBorders>
              <w:top w:val="nil"/>
              <w:left w:val="nil"/>
              <w:bottom w:val="nil"/>
              <w:right w:val="single" w:sz="4" w:space="0" w:color="auto"/>
            </w:tcBorders>
            <w:shd w:val="clear" w:color="000000" w:fill="FFFFFF"/>
            <w:noWrap/>
            <w:vAlign w:val="bottom"/>
            <w:hideMark/>
          </w:tcPr>
          <w:p w:rsidR="00280253" w:rsidRPr="00280253" w:rsidRDefault="00280253" w:rsidP="00280253">
            <w:pPr>
              <w:jc w:val="center"/>
              <w:rPr>
                <w:rFonts w:ascii="Arial" w:hAnsi="Arial" w:cs="Arial"/>
                <w:b/>
                <w:bCs/>
                <w:color w:val="000000"/>
                <w:sz w:val="21"/>
                <w:szCs w:val="21"/>
                <w:lang w:eastAsia="en-GB"/>
              </w:rPr>
            </w:pPr>
            <w:r w:rsidRPr="00280253">
              <w:rPr>
                <w:rFonts w:ascii="Arial" w:hAnsi="Arial" w:cs="Arial"/>
                <w:b/>
                <w:bCs/>
                <w:color w:val="000000"/>
                <w:sz w:val="21"/>
                <w:szCs w:val="21"/>
                <w:lang w:eastAsia="en-GB"/>
              </w:rPr>
              <w:t>Expenditure</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jc w:val="center"/>
              <w:rPr>
                <w:rFonts w:ascii="Arial" w:hAnsi="Arial" w:cs="Arial"/>
                <w:b/>
                <w:bCs/>
                <w:color w:val="000000"/>
                <w:sz w:val="21"/>
                <w:szCs w:val="21"/>
                <w:lang w:eastAsia="en-GB"/>
              </w:rPr>
            </w:pPr>
            <w:r w:rsidRPr="00280253">
              <w:rPr>
                <w:rFonts w:ascii="Arial" w:hAnsi="Arial" w:cs="Arial"/>
                <w:b/>
                <w:bCs/>
                <w:color w:val="000000"/>
                <w:sz w:val="21"/>
                <w:szCs w:val="21"/>
                <w:lang w:eastAsia="en-GB"/>
              </w:rPr>
              <w:t> </w:t>
            </w:r>
          </w:p>
        </w:tc>
        <w:tc>
          <w:tcPr>
            <w:tcW w:w="208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jc w:val="center"/>
              <w:rPr>
                <w:rFonts w:ascii="Arial" w:hAnsi="Arial" w:cs="Arial"/>
                <w:b/>
                <w:bCs/>
                <w:color w:val="000000"/>
                <w:sz w:val="21"/>
                <w:szCs w:val="21"/>
                <w:lang w:eastAsia="en-GB"/>
              </w:rPr>
            </w:pPr>
            <w:r w:rsidRPr="00280253">
              <w:rPr>
                <w:rFonts w:ascii="Arial" w:hAnsi="Arial" w:cs="Arial"/>
                <w:b/>
                <w:bCs/>
                <w:color w:val="000000"/>
                <w:sz w:val="21"/>
                <w:szCs w:val="21"/>
                <w:lang w:eastAsia="en-GB"/>
              </w:rPr>
              <w:t>/ (Deficit)</w:t>
            </w:r>
          </w:p>
        </w:tc>
      </w:tr>
      <w:tr w:rsidR="00280253" w:rsidRPr="00280253" w:rsidTr="00280253">
        <w:trPr>
          <w:trHeight w:val="372"/>
          <w:jc w:val="center"/>
        </w:trPr>
        <w:tc>
          <w:tcPr>
            <w:tcW w:w="3000" w:type="dxa"/>
            <w:tcBorders>
              <w:top w:val="nil"/>
              <w:left w:val="nil"/>
              <w:bottom w:val="nil"/>
              <w:right w:val="nil"/>
            </w:tcBorders>
            <w:shd w:val="clear" w:color="000000" w:fill="FFFFFF"/>
            <w:hideMark/>
          </w:tcPr>
          <w:p w:rsidR="00280253" w:rsidRPr="00280253" w:rsidRDefault="00280253" w:rsidP="00280253">
            <w:pPr>
              <w:jc w:val="both"/>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194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jc w:val="center"/>
              <w:rPr>
                <w:rFonts w:ascii="Arial" w:hAnsi="Arial" w:cs="Arial"/>
                <w:b/>
                <w:bCs/>
                <w:color w:val="000000"/>
                <w:sz w:val="21"/>
                <w:szCs w:val="21"/>
                <w:lang w:eastAsia="en-GB"/>
              </w:rPr>
            </w:pPr>
            <w:r w:rsidRPr="00280253">
              <w:rPr>
                <w:rFonts w:ascii="Arial" w:hAnsi="Arial" w:cs="Arial"/>
                <w:b/>
                <w:bCs/>
                <w:color w:val="000000"/>
                <w:sz w:val="21"/>
                <w:szCs w:val="21"/>
                <w:lang w:eastAsia="en-GB"/>
              </w:rPr>
              <w:t>Investment</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nil"/>
            </w:tcBorders>
            <w:shd w:val="clear" w:color="000000" w:fill="FFFFFF"/>
            <w:noWrap/>
            <w:vAlign w:val="bottom"/>
            <w:hideMark/>
          </w:tcPr>
          <w:p w:rsidR="00280253" w:rsidRPr="00280253" w:rsidRDefault="00280253" w:rsidP="00280253">
            <w:pPr>
              <w:jc w:val="center"/>
              <w:rPr>
                <w:rFonts w:ascii="Arial" w:hAnsi="Arial" w:cs="Arial"/>
                <w:b/>
                <w:bCs/>
                <w:color w:val="000000"/>
                <w:sz w:val="21"/>
                <w:szCs w:val="21"/>
                <w:lang w:eastAsia="en-GB"/>
              </w:rPr>
            </w:pPr>
            <w:r w:rsidRPr="00280253">
              <w:rPr>
                <w:rFonts w:ascii="Arial" w:hAnsi="Arial" w:cs="Arial"/>
                <w:b/>
                <w:bCs/>
                <w:color w:val="000000"/>
                <w:sz w:val="21"/>
                <w:szCs w:val="21"/>
                <w:lang w:eastAsia="en-GB"/>
              </w:rPr>
              <w:t>to 31 May 2020</w:t>
            </w:r>
          </w:p>
        </w:tc>
        <w:tc>
          <w:tcPr>
            <w:tcW w:w="2080" w:type="dxa"/>
            <w:tcBorders>
              <w:top w:val="nil"/>
              <w:left w:val="nil"/>
              <w:bottom w:val="nil"/>
              <w:right w:val="single" w:sz="4" w:space="0" w:color="auto"/>
            </w:tcBorders>
            <w:shd w:val="clear" w:color="000000" w:fill="FFFFFF"/>
            <w:noWrap/>
            <w:vAlign w:val="bottom"/>
            <w:hideMark/>
          </w:tcPr>
          <w:p w:rsidR="00280253" w:rsidRPr="00280253" w:rsidRDefault="00280253" w:rsidP="00280253">
            <w:pPr>
              <w:jc w:val="center"/>
              <w:rPr>
                <w:rFonts w:ascii="Arial" w:hAnsi="Arial" w:cs="Arial"/>
                <w:b/>
                <w:bCs/>
                <w:color w:val="000000"/>
                <w:sz w:val="21"/>
                <w:szCs w:val="21"/>
                <w:lang w:eastAsia="en-GB"/>
              </w:rPr>
            </w:pPr>
            <w:r w:rsidRPr="00280253">
              <w:rPr>
                <w:rFonts w:ascii="Arial" w:hAnsi="Arial" w:cs="Arial"/>
                <w:b/>
                <w:bCs/>
                <w:color w:val="000000"/>
                <w:sz w:val="21"/>
                <w:szCs w:val="21"/>
                <w:lang w:eastAsia="en-GB"/>
              </w:rPr>
              <w:t>to 31 March 2022</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jc w:val="center"/>
              <w:rPr>
                <w:rFonts w:ascii="Arial" w:hAnsi="Arial" w:cs="Arial"/>
                <w:b/>
                <w:bCs/>
                <w:color w:val="000000"/>
                <w:sz w:val="21"/>
                <w:szCs w:val="21"/>
                <w:lang w:eastAsia="en-GB"/>
              </w:rPr>
            </w:pPr>
            <w:r w:rsidRPr="00280253">
              <w:rPr>
                <w:rFonts w:ascii="Arial" w:hAnsi="Arial" w:cs="Arial"/>
                <w:b/>
                <w:bCs/>
                <w:color w:val="000000"/>
                <w:sz w:val="21"/>
                <w:szCs w:val="21"/>
                <w:lang w:eastAsia="en-GB"/>
              </w:rPr>
              <w:t> </w:t>
            </w:r>
          </w:p>
        </w:tc>
        <w:tc>
          <w:tcPr>
            <w:tcW w:w="208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jc w:val="center"/>
              <w:rPr>
                <w:rFonts w:ascii="Arial" w:hAnsi="Arial" w:cs="Arial"/>
                <w:b/>
                <w:bCs/>
                <w:color w:val="000000"/>
                <w:sz w:val="21"/>
                <w:szCs w:val="21"/>
                <w:lang w:eastAsia="en-GB"/>
              </w:rPr>
            </w:pPr>
            <w:r w:rsidRPr="00280253">
              <w:rPr>
                <w:rFonts w:ascii="Arial" w:hAnsi="Arial" w:cs="Arial"/>
                <w:b/>
                <w:bCs/>
                <w:color w:val="000000"/>
                <w:sz w:val="21"/>
                <w:szCs w:val="21"/>
                <w:lang w:eastAsia="en-GB"/>
              </w:rPr>
              <w:t>at 31 March 2022</w:t>
            </w:r>
          </w:p>
        </w:tc>
      </w:tr>
      <w:tr w:rsidR="00280253" w:rsidRPr="00280253" w:rsidTr="00280253">
        <w:trPr>
          <w:trHeight w:val="372"/>
          <w:jc w:val="center"/>
        </w:trPr>
        <w:tc>
          <w:tcPr>
            <w:tcW w:w="3000" w:type="dxa"/>
            <w:tcBorders>
              <w:top w:val="nil"/>
              <w:left w:val="nil"/>
              <w:bottom w:val="nil"/>
              <w:right w:val="nil"/>
            </w:tcBorders>
            <w:shd w:val="clear" w:color="000000" w:fill="FFFFFF"/>
            <w:vAlign w:val="center"/>
            <w:hideMark/>
          </w:tcPr>
          <w:p w:rsidR="00280253" w:rsidRPr="00280253" w:rsidRDefault="00280253" w:rsidP="00280253">
            <w:pPr>
              <w:jc w:val="center"/>
              <w:rPr>
                <w:rFonts w:ascii="Arial" w:hAnsi="Arial" w:cs="Arial"/>
                <w:b/>
                <w:bCs/>
                <w:color w:val="000000"/>
                <w:sz w:val="21"/>
                <w:szCs w:val="21"/>
                <w:lang w:eastAsia="en-GB"/>
              </w:rPr>
            </w:pPr>
            <w:r w:rsidRPr="00280253">
              <w:rPr>
                <w:rFonts w:ascii="Arial" w:hAnsi="Arial" w:cs="Arial"/>
                <w:b/>
                <w:bCs/>
                <w:color w:val="000000"/>
                <w:sz w:val="21"/>
                <w:szCs w:val="21"/>
                <w:lang w:eastAsia="en-GB"/>
              </w:rPr>
              <w:t>Workstream</w:t>
            </w:r>
          </w:p>
        </w:tc>
        <w:tc>
          <w:tcPr>
            <w:tcW w:w="194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jc w:val="center"/>
              <w:rPr>
                <w:rFonts w:ascii="Arial" w:hAnsi="Arial" w:cs="Arial"/>
                <w:b/>
                <w:bCs/>
                <w:color w:val="000000"/>
                <w:sz w:val="21"/>
                <w:szCs w:val="21"/>
                <w:lang w:eastAsia="en-GB"/>
              </w:rPr>
            </w:pPr>
            <w:r w:rsidRPr="00280253">
              <w:rPr>
                <w:rFonts w:ascii="Arial" w:hAnsi="Arial" w:cs="Arial"/>
                <w:b/>
                <w:bCs/>
                <w:color w:val="000000"/>
                <w:sz w:val="21"/>
                <w:szCs w:val="21"/>
                <w:lang w:eastAsia="en-GB"/>
              </w:rPr>
              <w:t>£</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nil"/>
            </w:tcBorders>
            <w:shd w:val="clear" w:color="000000" w:fill="FFFFFF"/>
            <w:noWrap/>
            <w:vAlign w:val="bottom"/>
            <w:hideMark/>
          </w:tcPr>
          <w:p w:rsidR="00280253" w:rsidRPr="00280253" w:rsidRDefault="00280253" w:rsidP="00280253">
            <w:pPr>
              <w:jc w:val="center"/>
              <w:rPr>
                <w:rFonts w:ascii="Arial" w:hAnsi="Arial" w:cs="Arial"/>
                <w:b/>
                <w:bCs/>
                <w:color w:val="000000"/>
                <w:sz w:val="21"/>
                <w:szCs w:val="21"/>
                <w:lang w:eastAsia="en-GB"/>
              </w:rPr>
            </w:pPr>
            <w:r w:rsidRPr="00280253">
              <w:rPr>
                <w:rFonts w:ascii="Arial" w:hAnsi="Arial" w:cs="Arial"/>
                <w:b/>
                <w:bCs/>
                <w:color w:val="000000"/>
                <w:sz w:val="21"/>
                <w:szCs w:val="21"/>
                <w:lang w:eastAsia="en-GB"/>
              </w:rPr>
              <w:t>£</w:t>
            </w:r>
          </w:p>
        </w:tc>
        <w:tc>
          <w:tcPr>
            <w:tcW w:w="2080" w:type="dxa"/>
            <w:tcBorders>
              <w:top w:val="nil"/>
              <w:left w:val="nil"/>
              <w:bottom w:val="nil"/>
              <w:right w:val="single" w:sz="4" w:space="0" w:color="auto"/>
            </w:tcBorders>
            <w:shd w:val="clear" w:color="000000" w:fill="FFFFFF"/>
            <w:noWrap/>
            <w:vAlign w:val="bottom"/>
            <w:hideMark/>
          </w:tcPr>
          <w:p w:rsidR="00280253" w:rsidRPr="00280253" w:rsidRDefault="00280253" w:rsidP="00280253">
            <w:pPr>
              <w:jc w:val="center"/>
              <w:rPr>
                <w:rFonts w:ascii="Arial" w:hAnsi="Arial" w:cs="Arial"/>
                <w:b/>
                <w:bCs/>
                <w:color w:val="000000"/>
                <w:sz w:val="21"/>
                <w:szCs w:val="21"/>
                <w:lang w:eastAsia="en-GB"/>
              </w:rPr>
            </w:pPr>
            <w:r w:rsidRPr="00280253">
              <w:rPr>
                <w:rFonts w:ascii="Arial" w:hAnsi="Arial" w:cs="Arial"/>
                <w:b/>
                <w:bCs/>
                <w:color w:val="000000"/>
                <w:sz w:val="21"/>
                <w:szCs w:val="21"/>
                <w:lang w:eastAsia="en-GB"/>
              </w:rPr>
              <w:t>£</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jc w:val="center"/>
              <w:rPr>
                <w:rFonts w:ascii="Arial" w:hAnsi="Arial" w:cs="Arial"/>
                <w:b/>
                <w:bCs/>
                <w:color w:val="000000"/>
                <w:sz w:val="21"/>
                <w:szCs w:val="21"/>
                <w:lang w:eastAsia="en-GB"/>
              </w:rPr>
            </w:pPr>
            <w:r w:rsidRPr="00280253">
              <w:rPr>
                <w:rFonts w:ascii="Arial" w:hAnsi="Arial" w:cs="Arial"/>
                <w:b/>
                <w:bCs/>
                <w:color w:val="000000"/>
                <w:sz w:val="21"/>
                <w:szCs w:val="21"/>
                <w:lang w:eastAsia="en-GB"/>
              </w:rPr>
              <w:t> </w:t>
            </w:r>
          </w:p>
        </w:tc>
        <w:tc>
          <w:tcPr>
            <w:tcW w:w="208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jc w:val="center"/>
              <w:rPr>
                <w:rFonts w:ascii="Arial" w:hAnsi="Arial" w:cs="Arial"/>
                <w:b/>
                <w:bCs/>
                <w:color w:val="000000"/>
                <w:sz w:val="21"/>
                <w:szCs w:val="21"/>
                <w:lang w:eastAsia="en-GB"/>
              </w:rPr>
            </w:pPr>
            <w:r w:rsidRPr="00280253">
              <w:rPr>
                <w:rFonts w:ascii="Arial" w:hAnsi="Arial" w:cs="Arial"/>
                <w:b/>
                <w:bCs/>
                <w:color w:val="000000"/>
                <w:sz w:val="21"/>
                <w:szCs w:val="21"/>
                <w:lang w:eastAsia="en-GB"/>
              </w:rPr>
              <w:t>£</w:t>
            </w:r>
          </w:p>
        </w:tc>
      </w:tr>
      <w:tr w:rsidR="00280253" w:rsidRPr="00280253" w:rsidTr="00280253">
        <w:trPr>
          <w:trHeight w:val="372"/>
          <w:jc w:val="center"/>
        </w:trPr>
        <w:tc>
          <w:tcPr>
            <w:tcW w:w="3000" w:type="dxa"/>
            <w:tcBorders>
              <w:top w:val="nil"/>
              <w:left w:val="nil"/>
              <w:bottom w:val="nil"/>
              <w:right w:val="nil"/>
            </w:tcBorders>
            <w:shd w:val="clear" w:color="000000" w:fill="FFFFFF"/>
            <w:hideMark/>
          </w:tcPr>
          <w:p w:rsidR="00280253" w:rsidRPr="00280253" w:rsidRDefault="00280253" w:rsidP="00280253">
            <w:pPr>
              <w:jc w:val="both"/>
              <w:rPr>
                <w:rFonts w:ascii="Arial" w:hAnsi="Arial" w:cs="Arial"/>
                <w:sz w:val="21"/>
                <w:szCs w:val="21"/>
                <w:lang w:eastAsia="en-GB"/>
              </w:rPr>
            </w:pPr>
            <w:r w:rsidRPr="00280253">
              <w:rPr>
                <w:rFonts w:ascii="Arial" w:hAnsi="Arial" w:cs="Arial"/>
                <w:sz w:val="21"/>
                <w:szCs w:val="21"/>
                <w:lang w:eastAsia="en-GB"/>
              </w:rPr>
              <w:t>VTP</w:t>
            </w:r>
          </w:p>
        </w:tc>
        <w:tc>
          <w:tcPr>
            <w:tcW w:w="194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0</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nil"/>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0</w:t>
            </w:r>
          </w:p>
        </w:tc>
        <w:tc>
          <w:tcPr>
            <w:tcW w:w="2080" w:type="dxa"/>
            <w:tcBorders>
              <w:top w:val="nil"/>
              <w:left w:val="nil"/>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0</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0</w:t>
            </w:r>
          </w:p>
        </w:tc>
      </w:tr>
      <w:tr w:rsidR="00280253" w:rsidRPr="00280253" w:rsidTr="00280253">
        <w:trPr>
          <w:trHeight w:val="372"/>
          <w:jc w:val="center"/>
        </w:trPr>
        <w:tc>
          <w:tcPr>
            <w:tcW w:w="3000" w:type="dxa"/>
            <w:tcBorders>
              <w:top w:val="nil"/>
              <w:left w:val="nil"/>
              <w:bottom w:val="nil"/>
              <w:right w:val="nil"/>
            </w:tcBorders>
            <w:shd w:val="clear" w:color="000000" w:fill="FFFFFF"/>
            <w:hideMark/>
          </w:tcPr>
          <w:p w:rsidR="00280253" w:rsidRPr="00280253" w:rsidRDefault="00280253" w:rsidP="00280253">
            <w:pPr>
              <w:jc w:val="both"/>
              <w:rPr>
                <w:rFonts w:ascii="Arial" w:hAnsi="Arial" w:cs="Arial"/>
                <w:sz w:val="21"/>
                <w:szCs w:val="21"/>
                <w:lang w:eastAsia="en-GB"/>
              </w:rPr>
            </w:pPr>
            <w:r w:rsidRPr="00280253">
              <w:rPr>
                <w:rFonts w:ascii="Arial" w:hAnsi="Arial" w:cs="Arial"/>
                <w:sz w:val="21"/>
                <w:szCs w:val="21"/>
                <w:lang w:eastAsia="en-GB"/>
              </w:rPr>
              <w:t>Pharmacotherapy</w:t>
            </w:r>
          </w:p>
        </w:tc>
        <w:tc>
          <w:tcPr>
            <w:tcW w:w="194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896,284</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nil"/>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172,938</w:t>
            </w:r>
          </w:p>
        </w:tc>
        <w:tc>
          <w:tcPr>
            <w:tcW w:w="2080" w:type="dxa"/>
            <w:tcBorders>
              <w:top w:val="nil"/>
              <w:left w:val="nil"/>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1,037,628</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(141,344)</w:t>
            </w:r>
          </w:p>
        </w:tc>
      </w:tr>
      <w:tr w:rsidR="00280253" w:rsidRPr="00280253" w:rsidTr="00280253">
        <w:trPr>
          <w:trHeight w:val="372"/>
          <w:jc w:val="center"/>
        </w:trPr>
        <w:tc>
          <w:tcPr>
            <w:tcW w:w="3000" w:type="dxa"/>
            <w:tcBorders>
              <w:top w:val="nil"/>
              <w:left w:val="nil"/>
              <w:bottom w:val="nil"/>
              <w:right w:val="nil"/>
            </w:tcBorders>
            <w:shd w:val="clear" w:color="000000" w:fill="FFFFFF"/>
            <w:hideMark/>
          </w:tcPr>
          <w:p w:rsidR="00280253" w:rsidRPr="00280253" w:rsidRDefault="00280253" w:rsidP="00280253">
            <w:pPr>
              <w:jc w:val="both"/>
              <w:rPr>
                <w:rFonts w:ascii="Arial" w:hAnsi="Arial" w:cs="Arial"/>
                <w:sz w:val="21"/>
                <w:szCs w:val="21"/>
                <w:lang w:eastAsia="en-GB"/>
              </w:rPr>
            </w:pPr>
            <w:r w:rsidRPr="00280253">
              <w:rPr>
                <w:rFonts w:ascii="Arial" w:hAnsi="Arial" w:cs="Arial"/>
                <w:sz w:val="21"/>
                <w:szCs w:val="21"/>
                <w:lang w:eastAsia="en-GB"/>
              </w:rPr>
              <w:t>CTCS</w:t>
            </w:r>
          </w:p>
        </w:tc>
        <w:tc>
          <w:tcPr>
            <w:tcW w:w="194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105,227</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nil"/>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0</w:t>
            </w:r>
          </w:p>
        </w:tc>
        <w:tc>
          <w:tcPr>
            <w:tcW w:w="2080" w:type="dxa"/>
            <w:tcBorders>
              <w:top w:val="nil"/>
              <w:left w:val="nil"/>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0</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105,227</w:t>
            </w:r>
          </w:p>
        </w:tc>
      </w:tr>
      <w:tr w:rsidR="00280253" w:rsidRPr="00280253" w:rsidTr="00280253">
        <w:trPr>
          <w:trHeight w:val="372"/>
          <w:jc w:val="center"/>
        </w:trPr>
        <w:tc>
          <w:tcPr>
            <w:tcW w:w="3000" w:type="dxa"/>
            <w:tcBorders>
              <w:top w:val="nil"/>
              <w:left w:val="nil"/>
              <w:bottom w:val="nil"/>
              <w:right w:val="nil"/>
            </w:tcBorders>
            <w:shd w:val="clear" w:color="000000" w:fill="FFFFFF"/>
            <w:hideMark/>
          </w:tcPr>
          <w:p w:rsidR="00280253" w:rsidRPr="00280253" w:rsidRDefault="00280253" w:rsidP="00280253">
            <w:pPr>
              <w:jc w:val="both"/>
              <w:rPr>
                <w:rFonts w:ascii="Arial" w:hAnsi="Arial" w:cs="Arial"/>
                <w:color w:val="000000"/>
                <w:sz w:val="21"/>
                <w:szCs w:val="21"/>
                <w:lang w:eastAsia="en-GB"/>
              </w:rPr>
            </w:pPr>
            <w:r w:rsidRPr="00280253">
              <w:rPr>
                <w:rFonts w:ascii="Arial" w:hAnsi="Arial" w:cs="Arial"/>
                <w:color w:val="000000"/>
                <w:sz w:val="21"/>
                <w:szCs w:val="21"/>
                <w:lang w:eastAsia="en-GB"/>
              </w:rPr>
              <w:t>Urgent Care</w:t>
            </w:r>
          </w:p>
        </w:tc>
        <w:tc>
          <w:tcPr>
            <w:tcW w:w="194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882,481</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nil"/>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127,481</w:t>
            </w:r>
          </w:p>
        </w:tc>
        <w:tc>
          <w:tcPr>
            <w:tcW w:w="2080" w:type="dxa"/>
            <w:tcBorders>
              <w:top w:val="nil"/>
              <w:left w:val="nil"/>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764,886</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117,595</w:t>
            </w:r>
          </w:p>
        </w:tc>
      </w:tr>
      <w:tr w:rsidR="00280253" w:rsidRPr="00280253" w:rsidTr="00280253">
        <w:trPr>
          <w:trHeight w:val="372"/>
          <w:jc w:val="center"/>
        </w:trPr>
        <w:tc>
          <w:tcPr>
            <w:tcW w:w="3000" w:type="dxa"/>
            <w:tcBorders>
              <w:top w:val="nil"/>
              <w:left w:val="nil"/>
              <w:bottom w:val="nil"/>
              <w:right w:val="nil"/>
            </w:tcBorders>
            <w:shd w:val="clear" w:color="000000" w:fill="FFFFFF"/>
            <w:hideMark/>
          </w:tcPr>
          <w:p w:rsidR="00280253" w:rsidRPr="00280253" w:rsidRDefault="00280253" w:rsidP="00280253">
            <w:pPr>
              <w:jc w:val="both"/>
              <w:rPr>
                <w:rFonts w:ascii="Arial" w:hAnsi="Arial" w:cs="Arial"/>
                <w:color w:val="000000"/>
                <w:sz w:val="21"/>
                <w:szCs w:val="21"/>
                <w:lang w:eastAsia="en-GB"/>
              </w:rPr>
            </w:pPr>
            <w:r w:rsidRPr="00280253">
              <w:rPr>
                <w:rFonts w:ascii="Arial" w:hAnsi="Arial" w:cs="Arial"/>
                <w:color w:val="000000"/>
                <w:sz w:val="21"/>
                <w:szCs w:val="21"/>
                <w:lang w:eastAsia="en-GB"/>
              </w:rPr>
              <w:t>FCP</w:t>
            </w:r>
          </w:p>
        </w:tc>
        <w:tc>
          <w:tcPr>
            <w:tcW w:w="194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510,437</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nil"/>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44,903</w:t>
            </w:r>
          </w:p>
        </w:tc>
        <w:tc>
          <w:tcPr>
            <w:tcW w:w="2080" w:type="dxa"/>
            <w:tcBorders>
              <w:top w:val="nil"/>
              <w:left w:val="nil"/>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271,026</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239,411</w:t>
            </w:r>
          </w:p>
        </w:tc>
      </w:tr>
      <w:tr w:rsidR="00280253" w:rsidRPr="00280253" w:rsidTr="00280253">
        <w:trPr>
          <w:trHeight w:val="372"/>
          <w:jc w:val="center"/>
        </w:trPr>
        <w:tc>
          <w:tcPr>
            <w:tcW w:w="3000" w:type="dxa"/>
            <w:tcBorders>
              <w:top w:val="nil"/>
              <w:left w:val="nil"/>
              <w:bottom w:val="nil"/>
              <w:right w:val="nil"/>
            </w:tcBorders>
            <w:shd w:val="clear" w:color="000000" w:fill="FFFFFF"/>
            <w:hideMark/>
          </w:tcPr>
          <w:p w:rsidR="00280253" w:rsidRPr="00280253" w:rsidRDefault="00280253" w:rsidP="00280253">
            <w:pPr>
              <w:jc w:val="both"/>
              <w:rPr>
                <w:rFonts w:ascii="Arial" w:hAnsi="Arial" w:cs="Arial"/>
                <w:color w:val="000000"/>
                <w:sz w:val="21"/>
                <w:szCs w:val="21"/>
                <w:lang w:eastAsia="en-GB"/>
              </w:rPr>
            </w:pPr>
            <w:r w:rsidRPr="00280253">
              <w:rPr>
                <w:rFonts w:ascii="Arial" w:hAnsi="Arial" w:cs="Arial"/>
                <w:color w:val="000000"/>
                <w:sz w:val="21"/>
                <w:szCs w:val="21"/>
                <w:lang w:eastAsia="en-GB"/>
              </w:rPr>
              <w:t>Mental Health</w:t>
            </w:r>
          </w:p>
        </w:tc>
        <w:tc>
          <w:tcPr>
            <w:tcW w:w="194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669,354</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nil"/>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100,514</w:t>
            </w:r>
          </w:p>
        </w:tc>
        <w:tc>
          <w:tcPr>
            <w:tcW w:w="2080" w:type="dxa"/>
            <w:tcBorders>
              <w:top w:val="nil"/>
              <w:left w:val="nil"/>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603,084</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66,270</w:t>
            </w:r>
          </w:p>
        </w:tc>
      </w:tr>
      <w:tr w:rsidR="00280253" w:rsidRPr="00280253" w:rsidTr="00280253">
        <w:trPr>
          <w:trHeight w:val="372"/>
          <w:jc w:val="center"/>
        </w:trPr>
        <w:tc>
          <w:tcPr>
            <w:tcW w:w="3000" w:type="dxa"/>
            <w:tcBorders>
              <w:top w:val="nil"/>
              <w:left w:val="nil"/>
              <w:bottom w:val="nil"/>
              <w:right w:val="nil"/>
            </w:tcBorders>
            <w:shd w:val="clear" w:color="000000" w:fill="FFFFFF"/>
            <w:hideMark/>
          </w:tcPr>
          <w:p w:rsidR="00280253" w:rsidRPr="00280253" w:rsidRDefault="00280253" w:rsidP="00280253">
            <w:pPr>
              <w:jc w:val="both"/>
              <w:rPr>
                <w:rFonts w:ascii="Arial" w:hAnsi="Arial" w:cs="Arial"/>
                <w:color w:val="000000"/>
                <w:sz w:val="21"/>
                <w:szCs w:val="21"/>
                <w:lang w:eastAsia="en-GB"/>
              </w:rPr>
            </w:pPr>
            <w:r w:rsidRPr="00280253">
              <w:rPr>
                <w:rFonts w:ascii="Arial" w:hAnsi="Arial" w:cs="Arial"/>
                <w:color w:val="000000"/>
                <w:sz w:val="21"/>
                <w:szCs w:val="21"/>
                <w:lang w:eastAsia="en-GB"/>
              </w:rPr>
              <w:t>Community Link Workers</w:t>
            </w:r>
          </w:p>
        </w:tc>
        <w:tc>
          <w:tcPr>
            <w:tcW w:w="194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150,439</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nil"/>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25,073</w:t>
            </w:r>
          </w:p>
        </w:tc>
        <w:tc>
          <w:tcPr>
            <w:tcW w:w="2080" w:type="dxa"/>
            <w:tcBorders>
              <w:top w:val="nil"/>
              <w:left w:val="nil"/>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150,439</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0</w:t>
            </w:r>
          </w:p>
        </w:tc>
      </w:tr>
      <w:tr w:rsidR="00280253" w:rsidRPr="00280253" w:rsidTr="00280253">
        <w:trPr>
          <w:trHeight w:val="372"/>
          <w:jc w:val="center"/>
        </w:trPr>
        <w:tc>
          <w:tcPr>
            <w:tcW w:w="3000" w:type="dxa"/>
            <w:tcBorders>
              <w:top w:val="nil"/>
              <w:left w:val="nil"/>
              <w:bottom w:val="nil"/>
              <w:right w:val="nil"/>
            </w:tcBorders>
            <w:shd w:val="clear" w:color="000000" w:fill="FFFFFF"/>
            <w:hideMark/>
          </w:tcPr>
          <w:p w:rsidR="00280253" w:rsidRPr="00280253" w:rsidRDefault="00280253" w:rsidP="00280253">
            <w:pPr>
              <w:jc w:val="both"/>
              <w:rPr>
                <w:rFonts w:ascii="Arial" w:hAnsi="Arial" w:cs="Arial"/>
                <w:color w:val="000000"/>
                <w:sz w:val="21"/>
                <w:szCs w:val="21"/>
                <w:lang w:eastAsia="en-GB"/>
              </w:rPr>
            </w:pPr>
            <w:r w:rsidRPr="00280253">
              <w:rPr>
                <w:rFonts w:ascii="Arial" w:hAnsi="Arial" w:cs="Arial"/>
                <w:color w:val="000000"/>
                <w:sz w:val="21"/>
                <w:szCs w:val="21"/>
                <w:lang w:eastAsia="en-GB"/>
              </w:rPr>
              <w:t>Central Costs</w:t>
            </w:r>
          </w:p>
        </w:tc>
        <w:tc>
          <w:tcPr>
            <w:tcW w:w="194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12,000</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nil"/>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2,000</w:t>
            </w:r>
          </w:p>
        </w:tc>
        <w:tc>
          <w:tcPr>
            <w:tcW w:w="2080" w:type="dxa"/>
            <w:tcBorders>
              <w:top w:val="nil"/>
              <w:left w:val="nil"/>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12,000</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0</w:t>
            </w:r>
          </w:p>
        </w:tc>
      </w:tr>
      <w:tr w:rsidR="00280253" w:rsidRPr="00280253" w:rsidTr="00280253">
        <w:trPr>
          <w:trHeight w:val="372"/>
          <w:jc w:val="center"/>
        </w:trPr>
        <w:tc>
          <w:tcPr>
            <w:tcW w:w="3000" w:type="dxa"/>
            <w:tcBorders>
              <w:top w:val="nil"/>
              <w:left w:val="nil"/>
              <w:bottom w:val="nil"/>
              <w:right w:val="nil"/>
            </w:tcBorders>
            <w:shd w:val="clear" w:color="000000" w:fill="FFFFFF"/>
            <w:hideMark/>
          </w:tcPr>
          <w:p w:rsidR="00280253" w:rsidRPr="00280253" w:rsidRDefault="00280253" w:rsidP="00280253">
            <w:pPr>
              <w:jc w:val="both"/>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194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nil"/>
              <w:bottom w:val="nil"/>
              <w:right w:val="single" w:sz="4" w:space="0" w:color="auto"/>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r>
      <w:tr w:rsidR="00280253" w:rsidRPr="00280253" w:rsidTr="00280253">
        <w:trPr>
          <w:trHeight w:val="372"/>
          <w:jc w:val="center"/>
        </w:trPr>
        <w:tc>
          <w:tcPr>
            <w:tcW w:w="3000" w:type="dxa"/>
            <w:tcBorders>
              <w:top w:val="nil"/>
              <w:left w:val="nil"/>
              <w:bottom w:val="nil"/>
              <w:right w:val="nil"/>
            </w:tcBorders>
            <w:shd w:val="clear" w:color="000000" w:fill="FFFFFF"/>
            <w:hideMark/>
          </w:tcPr>
          <w:p w:rsidR="00280253" w:rsidRPr="00280253" w:rsidRDefault="00280253" w:rsidP="00280253">
            <w:pPr>
              <w:jc w:val="both"/>
              <w:rPr>
                <w:rFonts w:ascii="Arial" w:hAnsi="Arial" w:cs="Arial"/>
                <w:b/>
                <w:bCs/>
                <w:color w:val="000000"/>
                <w:sz w:val="21"/>
                <w:szCs w:val="21"/>
                <w:lang w:eastAsia="en-GB"/>
              </w:rPr>
            </w:pPr>
            <w:r w:rsidRPr="00280253">
              <w:rPr>
                <w:rFonts w:ascii="Arial" w:hAnsi="Arial" w:cs="Arial"/>
                <w:b/>
                <w:bCs/>
                <w:color w:val="000000"/>
                <w:sz w:val="21"/>
                <w:szCs w:val="21"/>
                <w:lang w:eastAsia="en-GB"/>
              </w:rPr>
              <w:t>Total Expenditure</w:t>
            </w:r>
          </w:p>
        </w:tc>
        <w:tc>
          <w:tcPr>
            <w:tcW w:w="194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280253" w:rsidRPr="00280253" w:rsidRDefault="00280253" w:rsidP="00280253">
            <w:pPr>
              <w:jc w:val="right"/>
              <w:rPr>
                <w:rFonts w:ascii="Arial" w:hAnsi="Arial" w:cs="Arial"/>
                <w:b/>
                <w:bCs/>
                <w:color w:val="000000"/>
                <w:sz w:val="21"/>
                <w:szCs w:val="21"/>
                <w:lang w:eastAsia="en-GB"/>
              </w:rPr>
            </w:pPr>
            <w:r w:rsidRPr="00280253">
              <w:rPr>
                <w:rFonts w:ascii="Arial" w:hAnsi="Arial" w:cs="Arial"/>
                <w:b/>
                <w:bCs/>
                <w:color w:val="000000"/>
                <w:sz w:val="21"/>
                <w:szCs w:val="21"/>
                <w:lang w:eastAsia="en-GB"/>
              </w:rPr>
              <w:t>3,226,223</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single" w:sz="4" w:space="0" w:color="auto"/>
              <w:left w:val="single" w:sz="4" w:space="0" w:color="auto"/>
              <w:bottom w:val="single" w:sz="4" w:space="0" w:color="auto"/>
              <w:right w:val="nil"/>
            </w:tcBorders>
            <w:shd w:val="clear" w:color="000000" w:fill="D8D8D8"/>
            <w:noWrap/>
            <w:vAlign w:val="bottom"/>
            <w:hideMark/>
          </w:tcPr>
          <w:p w:rsidR="00280253" w:rsidRPr="00280253" w:rsidRDefault="00280253" w:rsidP="00280253">
            <w:pPr>
              <w:jc w:val="right"/>
              <w:rPr>
                <w:rFonts w:ascii="Arial" w:hAnsi="Arial" w:cs="Arial"/>
                <w:b/>
                <w:bCs/>
                <w:color w:val="000000"/>
                <w:sz w:val="21"/>
                <w:szCs w:val="21"/>
                <w:lang w:eastAsia="en-GB"/>
              </w:rPr>
            </w:pPr>
            <w:r w:rsidRPr="00280253">
              <w:rPr>
                <w:rFonts w:ascii="Arial" w:hAnsi="Arial" w:cs="Arial"/>
                <w:b/>
                <w:bCs/>
                <w:color w:val="000000"/>
                <w:sz w:val="21"/>
                <w:szCs w:val="21"/>
                <w:lang w:eastAsia="en-GB"/>
              </w:rPr>
              <w:t>472,909</w:t>
            </w:r>
          </w:p>
        </w:tc>
        <w:tc>
          <w:tcPr>
            <w:tcW w:w="2080" w:type="dxa"/>
            <w:tcBorders>
              <w:top w:val="single" w:sz="4" w:space="0" w:color="auto"/>
              <w:left w:val="nil"/>
              <w:bottom w:val="single" w:sz="4" w:space="0" w:color="auto"/>
              <w:right w:val="single" w:sz="4" w:space="0" w:color="auto"/>
            </w:tcBorders>
            <w:shd w:val="clear" w:color="000000" w:fill="D8D8D8"/>
            <w:noWrap/>
            <w:vAlign w:val="bottom"/>
            <w:hideMark/>
          </w:tcPr>
          <w:p w:rsidR="00280253" w:rsidRPr="00280253" w:rsidRDefault="00280253" w:rsidP="00280253">
            <w:pPr>
              <w:jc w:val="right"/>
              <w:rPr>
                <w:rFonts w:ascii="Arial" w:hAnsi="Arial" w:cs="Arial"/>
                <w:b/>
                <w:bCs/>
                <w:color w:val="000000"/>
                <w:sz w:val="21"/>
                <w:szCs w:val="21"/>
                <w:lang w:eastAsia="en-GB"/>
              </w:rPr>
            </w:pPr>
            <w:r w:rsidRPr="00280253">
              <w:rPr>
                <w:rFonts w:ascii="Arial" w:hAnsi="Arial" w:cs="Arial"/>
                <w:b/>
                <w:bCs/>
                <w:color w:val="000000"/>
                <w:sz w:val="21"/>
                <w:szCs w:val="21"/>
                <w:lang w:eastAsia="en-GB"/>
              </w:rPr>
              <w:t>2,839,063</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280253" w:rsidRPr="00280253" w:rsidRDefault="00280253" w:rsidP="00280253">
            <w:pPr>
              <w:jc w:val="right"/>
              <w:rPr>
                <w:rFonts w:ascii="Arial" w:hAnsi="Arial" w:cs="Arial"/>
                <w:b/>
                <w:bCs/>
                <w:color w:val="000000"/>
                <w:sz w:val="21"/>
                <w:szCs w:val="21"/>
                <w:lang w:eastAsia="en-GB"/>
              </w:rPr>
            </w:pPr>
            <w:r w:rsidRPr="00280253">
              <w:rPr>
                <w:rFonts w:ascii="Arial" w:hAnsi="Arial" w:cs="Arial"/>
                <w:b/>
                <w:bCs/>
                <w:color w:val="000000"/>
                <w:sz w:val="21"/>
                <w:szCs w:val="21"/>
                <w:lang w:eastAsia="en-GB"/>
              </w:rPr>
              <w:t>387,160</w:t>
            </w:r>
          </w:p>
        </w:tc>
      </w:tr>
      <w:tr w:rsidR="00280253" w:rsidRPr="00280253" w:rsidTr="00280253">
        <w:trPr>
          <w:trHeight w:val="372"/>
          <w:jc w:val="center"/>
        </w:trPr>
        <w:tc>
          <w:tcPr>
            <w:tcW w:w="3000" w:type="dxa"/>
            <w:tcBorders>
              <w:top w:val="nil"/>
              <w:left w:val="nil"/>
              <w:bottom w:val="nil"/>
              <w:right w:val="nil"/>
            </w:tcBorders>
            <w:shd w:val="clear" w:color="000000" w:fill="FFFFFF"/>
            <w:hideMark/>
          </w:tcPr>
          <w:p w:rsidR="00280253" w:rsidRPr="00280253" w:rsidRDefault="00280253" w:rsidP="00280253">
            <w:pPr>
              <w:jc w:val="both"/>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194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nil"/>
              <w:bottom w:val="nil"/>
              <w:right w:val="single" w:sz="4" w:space="0" w:color="auto"/>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r>
      <w:tr w:rsidR="00280253" w:rsidRPr="00280253" w:rsidTr="00280253">
        <w:trPr>
          <w:trHeight w:val="372"/>
          <w:jc w:val="center"/>
        </w:trPr>
        <w:tc>
          <w:tcPr>
            <w:tcW w:w="3000" w:type="dxa"/>
            <w:tcBorders>
              <w:top w:val="nil"/>
              <w:left w:val="nil"/>
              <w:bottom w:val="nil"/>
              <w:right w:val="nil"/>
            </w:tcBorders>
            <w:shd w:val="clear" w:color="000000" w:fill="FFFFFF"/>
            <w:hideMark/>
          </w:tcPr>
          <w:p w:rsidR="00280253" w:rsidRPr="00280253" w:rsidRDefault="00280253" w:rsidP="00280253">
            <w:pPr>
              <w:jc w:val="both"/>
              <w:rPr>
                <w:rFonts w:ascii="Arial" w:hAnsi="Arial" w:cs="Arial"/>
                <w:b/>
                <w:bCs/>
                <w:color w:val="000000"/>
                <w:sz w:val="21"/>
                <w:szCs w:val="21"/>
                <w:lang w:eastAsia="en-GB"/>
              </w:rPr>
            </w:pPr>
            <w:r w:rsidRPr="00280253">
              <w:rPr>
                <w:rFonts w:ascii="Arial" w:hAnsi="Arial" w:cs="Arial"/>
                <w:b/>
                <w:bCs/>
                <w:color w:val="000000"/>
                <w:sz w:val="21"/>
                <w:szCs w:val="21"/>
                <w:lang w:eastAsia="en-GB"/>
              </w:rPr>
              <w:t>Funded by:</w:t>
            </w:r>
          </w:p>
        </w:tc>
        <w:tc>
          <w:tcPr>
            <w:tcW w:w="194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nil"/>
              <w:bottom w:val="nil"/>
              <w:right w:val="single" w:sz="4" w:space="0" w:color="auto"/>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r>
      <w:tr w:rsidR="00280253" w:rsidRPr="00280253" w:rsidTr="00280253">
        <w:trPr>
          <w:trHeight w:val="372"/>
          <w:jc w:val="center"/>
        </w:trPr>
        <w:tc>
          <w:tcPr>
            <w:tcW w:w="3000" w:type="dxa"/>
            <w:tcBorders>
              <w:top w:val="nil"/>
              <w:left w:val="nil"/>
              <w:bottom w:val="nil"/>
              <w:right w:val="nil"/>
            </w:tcBorders>
            <w:shd w:val="clear" w:color="000000" w:fill="FFFFFF"/>
            <w:hideMark/>
          </w:tcPr>
          <w:p w:rsidR="00280253" w:rsidRPr="00280253" w:rsidRDefault="00280253" w:rsidP="00280253">
            <w:pPr>
              <w:jc w:val="both"/>
              <w:rPr>
                <w:rFonts w:ascii="Arial" w:hAnsi="Arial" w:cs="Arial"/>
                <w:color w:val="000000"/>
                <w:sz w:val="21"/>
                <w:szCs w:val="21"/>
                <w:lang w:eastAsia="en-GB"/>
              </w:rPr>
            </w:pPr>
            <w:r w:rsidRPr="00280253">
              <w:rPr>
                <w:rFonts w:ascii="Arial" w:hAnsi="Arial" w:cs="Arial"/>
                <w:color w:val="000000"/>
                <w:sz w:val="21"/>
                <w:szCs w:val="21"/>
                <w:lang w:eastAsia="en-GB"/>
              </w:rPr>
              <w:t>2.13% of £155m</w:t>
            </w:r>
          </w:p>
        </w:tc>
        <w:tc>
          <w:tcPr>
            <w:tcW w:w="194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3,295,558</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nil"/>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2,839,063</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456,495</w:t>
            </w:r>
          </w:p>
        </w:tc>
      </w:tr>
      <w:tr w:rsidR="00280253" w:rsidRPr="00280253" w:rsidTr="00280253">
        <w:trPr>
          <w:trHeight w:val="372"/>
          <w:jc w:val="center"/>
        </w:trPr>
        <w:tc>
          <w:tcPr>
            <w:tcW w:w="3000" w:type="dxa"/>
            <w:tcBorders>
              <w:top w:val="nil"/>
              <w:left w:val="nil"/>
              <w:bottom w:val="nil"/>
              <w:right w:val="nil"/>
            </w:tcBorders>
            <w:shd w:val="clear" w:color="000000" w:fill="FFFFFF"/>
            <w:hideMark/>
          </w:tcPr>
          <w:p w:rsidR="00280253" w:rsidRPr="00280253" w:rsidRDefault="00280253" w:rsidP="00280253">
            <w:pPr>
              <w:jc w:val="both"/>
              <w:rPr>
                <w:rFonts w:ascii="Arial" w:hAnsi="Arial" w:cs="Arial"/>
                <w:color w:val="000000"/>
                <w:sz w:val="21"/>
                <w:szCs w:val="21"/>
                <w:lang w:eastAsia="en-GB"/>
              </w:rPr>
            </w:pPr>
            <w:r w:rsidRPr="00280253">
              <w:rPr>
                <w:rFonts w:ascii="Arial" w:hAnsi="Arial" w:cs="Arial"/>
                <w:color w:val="000000"/>
                <w:sz w:val="21"/>
                <w:szCs w:val="21"/>
                <w:lang w:eastAsia="en-GB"/>
              </w:rPr>
              <w:t>Slippage on Drawdown</w:t>
            </w:r>
          </w:p>
        </w:tc>
        <w:tc>
          <w:tcPr>
            <w:tcW w:w="194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nil"/>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456,495</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jc w:val="right"/>
              <w:rPr>
                <w:rFonts w:ascii="Arial" w:hAnsi="Arial" w:cs="Arial"/>
                <w:color w:val="000000"/>
                <w:sz w:val="21"/>
                <w:szCs w:val="21"/>
                <w:lang w:eastAsia="en-GB"/>
              </w:rPr>
            </w:pPr>
            <w:r w:rsidRPr="00280253">
              <w:rPr>
                <w:rFonts w:ascii="Arial" w:hAnsi="Arial" w:cs="Arial"/>
                <w:color w:val="000000"/>
                <w:sz w:val="21"/>
                <w:szCs w:val="21"/>
                <w:lang w:eastAsia="en-GB"/>
              </w:rPr>
              <w:t>(456,495)</w:t>
            </w:r>
          </w:p>
        </w:tc>
      </w:tr>
      <w:tr w:rsidR="00280253" w:rsidRPr="00280253" w:rsidTr="00280253">
        <w:trPr>
          <w:trHeight w:val="372"/>
          <w:jc w:val="center"/>
        </w:trPr>
        <w:tc>
          <w:tcPr>
            <w:tcW w:w="3000" w:type="dxa"/>
            <w:tcBorders>
              <w:top w:val="nil"/>
              <w:left w:val="nil"/>
              <w:bottom w:val="nil"/>
              <w:right w:val="nil"/>
            </w:tcBorders>
            <w:shd w:val="clear" w:color="000000" w:fill="FFFFFF"/>
            <w:hideMark/>
          </w:tcPr>
          <w:p w:rsidR="00280253" w:rsidRPr="00280253" w:rsidRDefault="00280253" w:rsidP="00280253">
            <w:pPr>
              <w:jc w:val="both"/>
              <w:rPr>
                <w:rFonts w:ascii="Arial" w:hAnsi="Arial" w:cs="Arial"/>
                <w:b/>
                <w:bCs/>
                <w:color w:val="000000"/>
                <w:sz w:val="21"/>
                <w:szCs w:val="21"/>
                <w:lang w:eastAsia="en-GB"/>
              </w:rPr>
            </w:pPr>
            <w:r w:rsidRPr="00280253">
              <w:rPr>
                <w:rFonts w:ascii="Arial" w:hAnsi="Arial" w:cs="Arial"/>
                <w:b/>
                <w:bCs/>
                <w:color w:val="000000"/>
                <w:sz w:val="21"/>
                <w:szCs w:val="21"/>
                <w:lang w:eastAsia="en-GB"/>
              </w:rPr>
              <w:t>Total Funding</w:t>
            </w:r>
          </w:p>
        </w:tc>
        <w:tc>
          <w:tcPr>
            <w:tcW w:w="194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280253" w:rsidRPr="00280253" w:rsidRDefault="00280253" w:rsidP="00280253">
            <w:pPr>
              <w:jc w:val="right"/>
              <w:rPr>
                <w:rFonts w:ascii="Arial" w:hAnsi="Arial" w:cs="Arial"/>
                <w:b/>
                <w:bCs/>
                <w:color w:val="000000"/>
                <w:sz w:val="21"/>
                <w:szCs w:val="21"/>
                <w:lang w:eastAsia="en-GB"/>
              </w:rPr>
            </w:pPr>
            <w:r w:rsidRPr="00280253">
              <w:rPr>
                <w:rFonts w:ascii="Arial" w:hAnsi="Arial" w:cs="Arial"/>
                <w:b/>
                <w:bCs/>
                <w:color w:val="000000"/>
                <w:sz w:val="21"/>
                <w:szCs w:val="21"/>
                <w:lang w:eastAsia="en-GB"/>
              </w:rPr>
              <w:t>3,295,558</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b/>
                <w:bCs/>
                <w:color w:val="000000"/>
                <w:sz w:val="21"/>
                <w:szCs w:val="21"/>
                <w:lang w:eastAsia="en-GB"/>
              </w:rPr>
            </w:pPr>
            <w:r w:rsidRPr="00280253">
              <w:rPr>
                <w:rFonts w:ascii="Arial" w:hAnsi="Arial" w:cs="Arial"/>
                <w:b/>
                <w:bCs/>
                <w:color w:val="000000"/>
                <w:sz w:val="21"/>
                <w:szCs w:val="21"/>
                <w:lang w:eastAsia="en-GB"/>
              </w:rPr>
              <w:t> </w:t>
            </w:r>
          </w:p>
        </w:tc>
        <w:tc>
          <w:tcPr>
            <w:tcW w:w="2080" w:type="dxa"/>
            <w:tcBorders>
              <w:top w:val="single" w:sz="4" w:space="0" w:color="auto"/>
              <w:left w:val="single" w:sz="4" w:space="0" w:color="auto"/>
              <w:bottom w:val="single" w:sz="4" w:space="0" w:color="auto"/>
              <w:right w:val="nil"/>
            </w:tcBorders>
            <w:shd w:val="clear" w:color="000000" w:fill="D8D8D8"/>
            <w:noWrap/>
            <w:vAlign w:val="bottom"/>
            <w:hideMark/>
          </w:tcPr>
          <w:p w:rsidR="00280253" w:rsidRPr="00280253" w:rsidRDefault="00280253" w:rsidP="00280253">
            <w:pPr>
              <w:rPr>
                <w:rFonts w:ascii="Arial" w:hAnsi="Arial" w:cs="Arial"/>
                <w:b/>
                <w:bCs/>
                <w:color w:val="000000"/>
                <w:sz w:val="21"/>
                <w:szCs w:val="21"/>
                <w:lang w:eastAsia="en-GB"/>
              </w:rPr>
            </w:pPr>
            <w:r w:rsidRPr="00280253">
              <w:rPr>
                <w:rFonts w:ascii="Arial" w:hAnsi="Arial" w:cs="Arial"/>
                <w:b/>
                <w:bCs/>
                <w:color w:val="000000"/>
                <w:sz w:val="21"/>
                <w:szCs w:val="21"/>
                <w:lang w:eastAsia="en-GB"/>
              </w:rPr>
              <w:t> </w:t>
            </w:r>
          </w:p>
        </w:tc>
        <w:tc>
          <w:tcPr>
            <w:tcW w:w="2080" w:type="dxa"/>
            <w:tcBorders>
              <w:top w:val="single" w:sz="4" w:space="0" w:color="auto"/>
              <w:left w:val="nil"/>
              <w:bottom w:val="single" w:sz="4" w:space="0" w:color="auto"/>
              <w:right w:val="single" w:sz="4" w:space="0" w:color="auto"/>
            </w:tcBorders>
            <w:shd w:val="clear" w:color="000000" w:fill="D8D8D8"/>
            <w:noWrap/>
            <w:vAlign w:val="bottom"/>
            <w:hideMark/>
          </w:tcPr>
          <w:p w:rsidR="00280253" w:rsidRPr="00280253" w:rsidRDefault="00280253" w:rsidP="00280253">
            <w:pPr>
              <w:jc w:val="right"/>
              <w:rPr>
                <w:rFonts w:ascii="Arial" w:hAnsi="Arial" w:cs="Arial"/>
                <w:b/>
                <w:bCs/>
                <w:color w:val="000000"/>
                <w:sz w:val="21"/>
                <w:szCs w:val="21"/>
                <w:lang w:eastAsia="en-GB"/>
              </w:rPr>
            </w:pPr>
            <w:r w:rsidRPr="00280253">
              <w:rPr>
                <w:rFonts w:ascii="Arial" w:hAnsi="Arial" w:cs="Arial"/>
                <w:b/>
                <w:bCs/>
                <w:color w:val="000000"/>
                <w:sz w:val="21"/>
                <w:szCs w:val="21"/>
                <w:lang w:eastAsia="en-GB"/>
              </w:rPr>
              <w:t>3,295,558</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b/>
                <w:bCs/>
                <w:color w:val="000000"/>
                <w:sz w:val="21"/>
                <w:szCs w:val="21"/>
                <w:lang w:eastAsia="en-GB"/>
              </w:rPr>
            </w:pPr>
            <w:r w:rsidRPr="00280253">
              <w:rPr>
                <w:rFonts w:ascii="Arial" w:hAnsi="Arial" w:cs="Arial"/>
                <w:b/>
                <w:bCs/>
                <w:color w:val="000000"/>
                <w:sz w:val="21"/>
                <w:szCs w:val="21"/>
                <w:lang w:eastAsia="en-GB"/>
              </w:rPr>
              <w:t> </w:t>
            </w:r>
          </w:p>
        </w:tc>
        <w:tc>
          <w:tcPr>
            <w:tcW w:w="208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280253" w:rsidRPr="00280253" w:rsidRDefault="00280253" w:rsidP="00280253">
            <w:pPr>
              <w:jc w:val="right"/>
              <w:rPr>
                <w:rFonts w:ascii="Arial" w:hAnsi="Arial" w:cs="Arial"/>
                <w:b/>
                <w:bCs/>
                <w:color w:val="000000"/>
                <w:sz w:val="21"/>
                <w:szCs w:val="21"/>
                <w:lang w:eastAsia="en-GB"/>
              </w:rPr>
            </w:pPr>
            <w:r w:rsidRPr="00280253">
              <w:rPr>
                <w:rFonts w:ascii="Arial" w:hAnsi="Arial" w:cs="Arial"/>
                <w:b/>
                <w:bCs/>
                <w:color w:val="000000"/>
                <w:sz w:val="21"/>
                <w:szCs w:val="21"/>
                <w:lang w:eastAsia="en-GB"/>
              </w:rPr>
              <w:t>0</w:t>
            </w:r>
          </w:p>
        </w:tc>
      </w:tr>
      <w:tr w:rsidR="00280253" w:rsidRPr="00280253" w:rsidTr="00280253">
        <w:trPr>
          <w:trHeight w:val="372"/>
          <w:jc w:val="center"/>
        </w:trPr>
        <w:tc>
          <w:tcPr>
            <w:tcW w:w="30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194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nil"/>
              <w:bottom w:val="nil"/>
              <w:right w:val="single" w:sz="4" w:space="0" w:color="auto"/>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nil"/>
              <w:right w:val="single" w:sz="4" w:space="0" w:color="auto"/>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r>
      <w:tr w:rsidR="00280253" w:rsidRPr="00280253" w:rsidTr="00280253">
        <w:trPr>
          <w:trHeight w:val="372"/>
          <w:jc w:val="center"/>
        </w:trPr>
        <w:tc>
          <w:tcPr>
            <w:tcW w:w="3000" w:type="dxa"/>
            <w:tcBorders>
              <w:top w:val="nil"/>
              <w:left w:val="nil"/>
              <w:bottom w:val="nil"/>
              <w:right w:val="nil"/>
            </w:tcBorders>
            <w:shd w:val="clear" w:color="000000" w:fill="FFFFFF"/>
            <w:hideMark/>
          </w:tcPr>
          <w:p w:rsidR="00280253" w:rsidRPr="00280253" w:rsidRDefault="00280253" w:rsidP="00280253">
            <w:pPr>
              <w:jc w:val="both"/>
              <w:rPr>
                <w:rFonts w:ascii="Arial" w:hAnsi="Arial" w:cs="Arial"/>
                <w:b/>
                <w:bCs/>
                <w:color w:val="000000"/>
                <w:sz w:val="21"/>
                <w:szCs w:val="21"/>
                <w:lang w:eastAsia="en-GB"/>
              </w:rPr>
            </w:pPr>
            <w:r w:rsidRPr="00280253">
              <w:rPr>
                <w:rFonts w:ascii="Arial" w:hAnsi="Arial" w:cs="Arial"/>
                <w:b/>
                <w:bCs/>
                <w:color w:val="000000"/>
                <w:sz w:val="21"/>
                <w:szCs w:val="21"/>
                <w:lang w:eastAsia="en-GB"/>
              </w:rPr>
              <w:t>Surplus / (Deficit)</w:t>
            </w:r>
          </w:p>
        </w:tc>
        <w:tc>
          <w:tcPr>
            <w:tcW w:w="194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280253" w:rsidRPr="00280253" w:rsidRDefault="00280253" w:rsidP="00280253">
            <w:pPr>
              <w:jc w:val="right"/>
              <w:rPr>
                <w:rFonts w:ascii="Arial" w:hAnsi="Arial" w:cs="Arial"/>
                <w:b/>
                <w:bCs/>
                <w:color w:val="000000"/>
                <w:sz w:val="21"/>
                <w:szCs w:val="21"/>
                <w:lang w:eastAsia="en-GB"/>
              </w:rPr>
            </w:pPr>
            <w:r w:rsidRPr="00280253">
              <w:rPr>
                <w:rFonts w:ascii="Arial" w:hAnsi="Arial" w:cs="Arial"/>
                <w:b/>
                <w:bCs/>
                <w:color w:val="000000"/>
                <w:sz w:val="21"/>
                <w:szCs w:val="21"/>
                <w:lang w:eastAsia="en-GB"/>
              </w:rPr>
              <w:t>69,336</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b/>
                <w:bCs/>
                <w:color w:val="000000"/>
                <w:sz w:val="21"/>
                <w:szCs w:val="21"/>
                <w:lang w:eastAsia="en-GB"/>
              </w:rPr>
            </w:pPr>
            <w:r w:rsidRPr="00280253">
              <w:rPr>
                <w:rFonts w:ascii="Arial" w:hAnsi="Arial" w:cs="Arial"/>
                <w:b/>
                <w:bCs/>
                <w:color w:val="000000"/>
                <w:sz w:val="21"/>
                <w:szCs w:val="21"/>
                <w:lang w:eastAsia="en-GB"/>
              </w:rPr>
              <w:t> </w:t>
            </w:r>
          </w:p>
        </w:tc>
        <w:tc>
          <w:tcPr>
            <w:tcW w:w="2080" w:type="dxa"/>
            <w:tcBorders>
              <w:top w:val="single" w:sz="4" w:space="0" w:color="auto"/>
              <w:left w:val="single" w:sz="4" w:space="0" w:color="auto"/>
              <w:bottom w:val="single" w:sz="4" w:space="0" w:color="auto"/>
              <w:right w:val="nil"/>
            </w:tcBorders>
            <w:shd w:val="clear" w:color="000000" w:fill="D8D8D8"/>
            <w:noWrap/>
            <w:vAlign w:val="bottom"/>
            <w:hideMark/>
          </w:tcPr>
          <w:p w:rsidR="00280253" w:rsidRPr="00280253" w:rsidRDefault="00280253" w:rsidP="00280253">
            <w:pPr>
              <w:rPr>
                <w:rFonts w:ascii="Arial" w:hAnsi="Arial" w:cs="Arial"/>
                <w:b/>
                <w:bCs/>
                <w:color w:val="000000"/>
                <w:sz w:val="21"/>
                <w:szCs w:val="21"/>
                <w:lang w:eastAsia="en-GB"/>
              </w:rPr>
            </w:pPr>
            <w:r w:rsidRPr="00280253">
              <w:rPr>
                <w:rFonts w:ascii="Arial" w:hAnsi="Arial" w:cs="Arial"/>
                <w:b/>
                <w:bCs/>
                <w:color w:val="000000"/>
                <w:sz w:val="21"/>
                <w:szCs w:val="21"/>
                <w:lang w:eastAsia="en-GB"/>
              </w:rPr>
              <w:t> </w:t>
            </w:r>
          </w:p>
        </w:tc>
        <w:tc>
          <w:tcPr>
            <w:tcW w:w="2080" w:type="dxa"/>
            <w:tcBorders>
              <w:top w:val="single" w:sz="4" w:space="0" w:color="auto"/>
              <w:left w:val="nil"/>
              <w:bottom w:val="single" w:sz="4" w:space="0" w:color="auto"/>
              <w:right w:val="single" w:sz="4" w:space="0" w:color="auto"/>
            </w:tcBorders>
            <w:shd w:val="clear" w:color="000000" w:fill="D8D8D8"/>
            <w:noWrap/>
            <w:vAlign w:val="bottom"/>
            <w:hideMark/>
          </w:tcPr>
          <w:p w:rsidR="00280253" w:rsidRPr="00280253" w:rsidRDefault="00280253" w:rsidP="00280253">
            <w:pPr>
              <w:jc w:val="right"/>
              <w:rPr>
                <w:rFonts w:ascii="Arial" w:hAnsi="Arial" w:cs="Arial"/>
                <w:b/>
                <w:bCs/>
                <w:color w:val="000000"/>
                <w:sz w:val="21"/>
                <w:szCs w:val="21"/>
                <w:lang w:eastAsia="en-GB"/>
              </w:rPr>
            </w:pPr>
            <w:r w:rsidRPr="00280253">
              <w:rPr>
                <w:rFonts w:ascii="Arial" w:hAnsi="Arial" w:cs="Arial"/>
                <w:b/>
                <w:bCs/>
                <w:color w:val="000000"/>
                <w:sz w:val="21"/>
                <w:szCs w:val="21"/>
                <w:lang w:eastAsia="en-GB"/>
              </w:rPr>
              <w:t>456,495</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b/>
                <w:bCs/>
                <w:color w:val="000000"/>
                <w:sz w:val="21"/>
                <w:szCs w:val="21"/>
                <w:lang w:eastAsia="en-GB"/>
              </w:rPr>
            </w:pPr>
            <w:r w:rsidRPr="00280253">
              <w:rPr>
                <w:rFonts w:ascii="Arial" w:hAnsi="Arial" w:cs="Arial"/>
                <w:b/>
                <w:bCs/>
                <w:color w:val="000000"/>
                <w:sz w:val="21"/>
                <w:szCs w:val="21"/>
                <w:lang w:eastAsia="en-GB"/>
              </w:rPr>
              <w:t> </w:t>
            </w:r>
          </w:p>
        </w:tc>
        <w:tc>
          <w:tcPr>
            <w:tcW w:w="208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280253" w:rsidRPr="00280253" w:rsidRDefault="00280253" w:rsidP="00280253">
            <w:pPr>
              <w:jc w:val="right"/>
              <w:rPr>
                <w:rFonts w:ascii="Arial" w:hAnsi="Arial" w:cs="Arial"/>
                <w:b/>
                <w:bCs/>
                <w:color w:val="000000"/>
                <w:sz w:val="21"/>
                <w:szCs w:val="21"/>
                <w:lang w:eastAsia="en-GB"/>
              </w:rPr>
            </w:pPr>
            <w:r w:rsidRPr="00280253">
              <w:rPr>
                <w:rFonts w:ascii="Arial" w:hAnsi="Arial" w:cs="Arial"/>
                <w:b/>
                <w:bCs/>
                <w:color w:val="000000"/>
                <w:sz w:val="21"/>
                <w:szCs w:val="21"/>
                <w:lang w:eastAsia="en-GB"/>
              </w:rPr>
              <w:t>(387,160)</w:t>
            </w:r>
          </w:p>
        </w:tc>
      </w:tr>
      <w:tr w:rsidR="00280253" w:rsidRPr="00280253" w:rsidTr="00280253">
        <w:trPr>
          <w:trHeight w:val="372"/>
          <w:jc w:val="center"/>
        </w:trPr>
        <w:tc>
          <w:tcPr>
            <w:tcW w:w="30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1940" w:type="dxa"/>
            <w:tcBorders>
              <w:top w:val="nil"/>
              <w:left w:val="single" w:sz="4" w:space="0" w:color="auto"/>
              <w:bottom w:val="single" w:sz="4" w:space="0" w:color="auto"/>
              <w:right w:val="single" w:sz="4" w:space="0" w:color="auto"/>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single" w:sz="4" w:space="0" w:color="auto"/>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nil"/>
              <w:bottom w:val="single" w:sz="4" w:space="0" w:color="auto"/>
              <w:right w:val="single" w:sz="4" w:space="0" w:color="auto"/>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0" w:type="dxa"/>
            <w:tcBorders>
              <w:top w:val="nil"/>
              <w:left w:val="nil"/>
              <w:bottom w:val="nil"/>
              <w:right w:val="nil"/>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c>
          <w:tcPr>
            <w:tcW w:w="2080" w:type="dxa"/>
            <w:tcBorders>
              <w:top w:val="nil"/>
              <w:left w:val="single" w:sz="4" w:space="0" w:color="auto"/>
              <w:bottom w:val="single" w:sz="4" w:space="0" w:color="auto"/>
              <w:right w:val="single" w:sz="4" w:space="0" w:color="auto"/>
            </w:tcBorders>
            <w:shd w:val="clear" w:color="000000" w:fill="FFFFFF"/>
            <w:noWrap/>
            <w:vAlign w:val="bottom"/>
            <w:hideMark/>
          </w:tcPr>
          <w:p w:rsidR="00280253" w:rsidRPr="00280253" w:rsidRDefault="00280253" w:rsidP="00280253">
            <w:pPr>
              <w:rPr>
                <w:rFonts w:ascii="Arial" w:hAnsi="Arial" w:cs="Arial"/>
                <w:color w:val="000000"/>
                <w:sz w:val="21"/>
                <w:szCs w:val="21"/>
                <w:lang w:eastAsia="en-GB"/>
              </w:rPr>
            </w:pPr>
            <w:r w:rsidRPr="00280253">
              <w:rPr>
                <w:rFonts w:ascii="Arial" w:hAnsi="Arial" w:cs="Arial"/>
                <w:color w:val="000000"/>
                <w:sz w:val="21"/>
                <w:szCs w:val="21"/>
                <w:lang w:eastAsia="en-GB"/>
              </w:rPr>
              <w:t> </w:t>
            </w:r>
          </w:p>
        </w:tc>
      </w:tr>
    </w:tbl>
    <w:p w:rsidR="004D7C5F" w:rsidRPr="00AE7D71" w:rsidRDefault="004D7C5F" w:rsidP="00AF3B99">
      <w:pPr>
        <w:pStyle w:val="ListParagraph"/>
        <w:spacing w:after="0" w:line="240" w:lineRule="auto"/>
        <w:ind w:left="0"/>
        <w:jc w:val="center"/>
        <w:rPr>
          <w:rFonts w:ascii="Arial" w:hAnsi="Arial" w:cs="Arial"/>
          <w:noProof/>
          <w:highlight w:val="yellow"/>
          <w:lang w:eastAsia="en-GB"/>
        </w:rPr>
      </w:pPr>
    </w:p>
    <w:p w:rsidR="00D87403" w:rsidRDefault="00D87403" w:rsidP="00AF3B99">
      <w:pPr>
        <w:jc w:val="both"/>
        <w:rPr>
          <w:rFonts w:ascii="Arial" w:hAnsi="Arial" w:cs="Arial"/>
          <w:sz w:val="22"/>
          <w:szCs w:val="22"/>
        </w:rPr>
      </w:pPr>
    </w:p>
    <w:p w:rsidR="00187D8B" w:rsidRPr="00187D8B" w:rsidRDefault="007E16B3" w:rsidP="00AF3B99">
      <w:pPr>
        <w:jc w:val="both"/>
        <w:rPr>
          <w:rFonts w:ascii="Arial" w:hAnsi="Arial" w:cs="Arial"/>
          <w:sz w:val="22"/>
          <w:szCs w:val="22"/>
        </w:rPr>
      </w:pPr>
      <w:r w:rsidRPr="00187D8B">
        <w:rPr>
          <w:rFonts w:ascii="Arial" w:hAnsi="Arial" w:cs="Arial"/>
          <w:sz w:val="22"/>
          <w:szCs w:val="22"/>
        </w:rPr>
        <w:t>The table above</w:t>
      </w:r>
      <w:r w:rsidR="001D2990" w:rsidRPr="00187D8B">
        <w:rPr>
          <w:rFonts w:ascii="Arial" w:hAnsi="Arial" w:cs="Arial"/>
          <w:sz w:val="22"/>
          <w:szCs w:val="22"/>
        </w:rPr>
        <w:t xml:space="preserve"> provides an update</w:t>
      </w:r>
      <w:r w:rsidR="001265DC" w:rsidRPr="00187D8B">
        <w:rPr>
          <w:rFonts w:ascii="Arial" w:hAnsi="Arial" w:cs="Arial"/>
          <w:sz w:val="22"/>
          <w:szCs w:val="22"/>
        </w:rPr>
        <w:t xml:space="preserve"> to the</w:t>
      </w:r>
      <w:r w:rsidRPr="00187D8B">
        <w:rPr>
          <w:rFonts w:ascii="Arial" w:hAnsi="Arial" w:cs="Arial"/>
          <w:sz w:val="22"/>
          <w:szCs w:val="22"/>
        </w:rPr>
        <w:t xml:space="preserve"> financial plan</w:t>
      </w:r>
      <w:r w:rsidR="001265DC" w:rsidRPr="00187D8B">
        <w:rPr>
          <w:rFonts w:ascii="Arial" w:hAnsi="Arial" w:cs="Arial"/>
          <w:sz w:val="22"/>
          <w:szCs w:val="22"/>
        </w:rPr>
        <w:t xml:space="preserve"> </w:t>
      </w:r>
      <w:r w:rsidR="0074077E">
        <w:rPr>
          <w:rFonts w:ascii="Arial" w:hAnsi="Arial" w:cs="Arial"/>
          <w:sz w:val="22"/>
          <w:szCs w:val="22"/>
        </w:rPr>
        <w:t>for 2021</w:t>
      </w:r>
      <w:r w:rsidR="00187D8B" w:rsidRPr="00187D8B">
        <w:rPr>
          <w:rFonts w:ascii="Arial" w:hAnsi="Arial" w:cs="Arial"/>
          <w:sz w:val="22"/>
          <w:szCs w:val="22"/>
        </w:rPr>
        <w:t>/</w:t>
      </w:r>
      <w:r w:rsidR="0074077E">
        <w:rPr>
          <w:rFonts w:ascii="Arial" w:hAnsi="Arial" w:cs="Arial"/>
          <w:sz w:val="22"/>
          <w:szCs w:val="22"/>
        </w:rPr>
        <w:t>22</w:t>
      </w:r>
      <w:r w:rsidR="001265DC" w:rsidRPr="00187D8B">
        <w:rPr>
          <w:rFonts w:ascii="Arial" w:hAnsi="Arial" w:cs="Arial"/>
          <w:sz w:val="22"/>
          <w:szCs w:val="22"/>
        </w:rPr>
        <w:t xml:space="preserve"> as to</w:t>
      </w:r>
      <w:r w:rsidRPr="00187D8B">
        <w:rPr>
          <w:rFonts w:ascii="Arial" w:hAnsi="Arial" w:cs="Arial"/>
          <w:sz w:val="22"/>
          <w:szCs w:val="22"/>
        </w:rPr>
        <w:t xml:space="preserve"> how the total </w:t>
      </w:r>
      <w:r w:rsidR="0074077E">
        <w:rPr>
          <w:rFonts w:ascii="Arial" w:hAnsi="Arial" w:cs="Arial"/>
          <w:sz w:val="22"/>
          <w:szCs w:val="22"/>
        </w:rPr>
        <w:t>PCIF funding allocation is being</w:t>
      </w:r>
      <w:r w:rsidRPr="00187D8B">
        <w:rPr>
          <w:rFonts w:ascii="Arial" w:hAnsi="Arial" w:cs="Arial"/>
          <w:sz w:val="22"/>
          <w:szCs w:val="22"/>
        </w:rPr>
        <w:t xml:space="preserve"> used to deliver the requirements of the</w:t>
      </w:r>
      <w:r w:rsidR="009E1469" w:rsidRPr="00187D8B">
        <w:rPr>
          <w:rFonts w:ascii="Arial" w:hAnsi="Arial" w:cs="Arial"/>
          <w:sz w:val="22"/>
          <w:szCs w:val="22"/>
        </w:rPr>
        <w:t xml:space="preserve"> MoU contained in the new</w:t>
      </w:r>
      <w:r w:rsidRPr="00187D8B">
        <w:rPr>
          <w:rFonts w:ascii="Arial" w:hAnsi="Arial" w:cs="Arial"/>
          <w:sz w:val="22"/>
          <w:szCs w:val="22"/>
        </w:rPr>
        <w:t xml:space="preserve"> GMS Contract</w:t>
      </w:r>
      <w:r w:rsidR="009E1469" w:rsidRPr="00187D8B">
        <w:rPr>
          <w:rFonts w:ascii="Arial" w:hAnsi="Arial" w:cs="Arial"/>
          <w:sz w:val="22"/>
          <w:szCs w:val="22"/>
        </w:rPr>
        <w:t xml:space="preserve"> (2018)</w:t>
      </w:r>
      <w:r w:rsidRPr="00187D8B">
        <w:rPr>
          <w:rFonts w:ascii="Arial" w:hAnsi="Arial" w:cs="Arial"/>
          <w:sz w:val="22"/>
          <w:szCs w:val="22"/>
        </w:rPr>
        <w:t>.</w:t>
      </w:r>
      <w:r w:rsidR="00885047" w:rsidRPr="00187D8B">
        <w:rPr>
          <w:rFonts w:ascii="Arial" w:hAnsi="Arial" w:cs="Arial"/>
          <w:sz w:val="22"/>
          <w:szCs w:val="22"/>
        </w:rPr>
        <w:t xml:space="preserve"> </w:t>
      </w:r>
    </w:p>
    <w:p w:rsidR="00187D8B" w:rsidRPr="00187D8B" w:rsidRDefault="00187D8B" w:rsidP="00AF3B99">
      <w:pPr>
        <w:jc w:val="both"/>
        <w:rPr>
          <w:rFonts w:ascii="Arial" w:hAnsi="Arial" w:cs="Arial"/>
          <w:sz w:val="22"/>
          <w:szCs w:val="22"/>
        </w:rPr>
      </w:pPr>
    </w:p>
    <w:p w:rsidR="007E16B3" w:rsidRPr="00187D8B" w:rsidRDefault="00885047" w:rsidP="00AF3B99">
      <w:pPr>
        <w:jc w:val="both"/>
        <w:rPr>
          <w:rFonts w:ascii="Arial" w:hAnsi="Arial" w:cs="Arial"/>
          <w:sz w:val="22"/>
          <w:szCs w:val="22"/>
        </w:rPr>
      </w:pPr>
      <w:r w:rsidRPr="00187D8B">
        <w:rPr>
          <w:rFonts w:ascii="Arial" w:hAnsi="Arial" w:cs="Arial"/>
          <w:sz w:val="22"/>
          <w:szCs w:val="22"/>
        </w:rPr>
        <w:t>The f</w:t>
      </w:r>
      <w:r w:rsidR="00187D8B">
        <w:rPr>
          <w:rFonts w:ascii="Arial" w:hAnsi="Arial" w:cs="Arial"/>
          <w:sz w:val="22"/>
          <w:szCs w:val="22"/>
        </w:rPr>
        <w:t>ollowing points are highlighted to the PCIP Executive Group:</w:t>
      </w:r>
    </w:p>
    <w:p w:rsidR="007E16B3" w:rsidRPr="00AE7D71" w:rsidRDefault="007E16B3" w:rsidP="00AF3B99">
      <w:pPr>
        <w:jc w:val="both"/>
        <w:rPr>
          <w:rFonts w:ascii="Arial" w:hAnsi="Arial" w:cs="Arial"/>
          <w:sz w:val="22"/>
          <w:szCs w:val="22"/>
          <w:highlight w:val="yellow"/>
        </w:rPr>
      </w:pPr>
    </w:p>
    <w:p w:rsidR="00280253" w:rsidRDefault="00E8339B" w:rsidP="00AF3B99">
      <w:pPr>
        <w:pStyle w:val="ListParagraph"/>
        <w:numPr>
          <w:ilvl w:val="0"/>
          <w:numId w:val="1"/>
        </w:numPr>
        <w:spacing w:after="0" w:line="240" w:lineRule="auto"/>
        <w:jc w:val="both"/>
        <w:rPr>
          <w:rFonts w:ascii="Arial" w:hAnsi="Arial" w:cs="Arial"/>
        </w:rPr>
      </w:pPr>
      <w:r w:rsidRPr="00E8339B">
        <w:rPr>
          <w:rFonts w:ascii="Arial" w:hAnsi="Arial" w:cs="Arial"/>
        </w:rPr>
        <w:t xml:space="preserve">The PCIP workstreams are underpinned by a full year recurring investment plan of </w:t>
      </w:r>
      <w:r w:rsidR="00280253">
        <w:rPr>
          <w:rFonts w:ascii="Arial" w:hAnsi="Arial" w:cs="Arial"/>
          <w:b/>
          <w:color w:val="0070C0"/>
        </w:rPr>
        <w:t>£3.296</w:t>
      </w:r>
      <w:r w:rsidRPr="00E8339B">
        <w:rPr>
          <w:rFonts w:ascii="Arial" w:hAnsi="Arial" w:cs="Arial"/>
          <w:b/>
          <w:color w:val="0070C0"/>
        </w:rPr>
        <w:t>m</w:t>
      </w:r>
      <w:r w:rsidRPr="00E8339B">
        <w:rPr>
          <w:rFonts w:ascii="Arial" w:hAnsi="Arial" w:cs="Arial"/>
        </w:rPr>
        <w:t xml:space="preserve"> to support delivery of the PCIP three year </w:t>
      </w:r>
      <w:proofErr w:type="gramStart"/>
      <w:r w:rsidRPr="00E8339B">
        <w:rPr>
          <w:rFonts w:ascii="Arial" w:hAnsi="Arial" w:cs="Arial"/>
        </w:rPr>
        <w:t>plan</w:t>
      </w:r>
      <w:proofErr w:type="gramEnd"/>
      <w:r w:rsidRPr="00E8339B">
        <w:rPr>
          <w:rFonts w:ascii="Arial" w:hAnsi="Arial" w:cs="Arial"/>
        </w:rPr>
        <w:t xml:space="preserve">. </w:t>
      </w:r>
      <w:r w:rsidR="00280253">
        <w:rPr>
          <w:rFonts w:ascii="Arial" w:hAnsi="Arial" w:cs="Arial"/>
        </w:rPr>
        <w:t xml:space="preserve">Funding of </w:t>
      </w:r>
      <w:r w:rsidR="00280253" w:rsidRPr="005067CA">
        <w:rPr>
          <w:rFonts w:ascii="Arial" w:hAnsi="Arial" w:cs="Arial"/>
          <w:b/>
          <w:color w:val="0070C0"/>
        </w:rPr>
        <w:t>£3.296m</w:t>
      </w:r>
      <w:r w:rsidR="00280253">
        <w:rPr>
          <w:rFonts w:ascii="Arial" w:hAnsi="Arial" w:cs="Arial"/>
        </w:rPr>
        <w:t xml:space="preserve"> has been </w:t>
      </w:r>
      <w:r w:rsidR="00280253">
        <w:rPr>
          <w:rFonts w:ascii="Arial" w:hAnsi="Arial" w:cs="Arial"/>
        </w:rPr>
        <w:lastRenderedPageBreak/>
        <w:t xml:space="preserve">confirmed by the Scottish Government via the Annual Funding Letter received by NHS Boards and Health and Social Care Partnership </w:t>
      </w:r>
      <w:r w:rsidR="005067CA">
        <w:rPr>
          <w:rFonts w:ascii="Arial" w:hAnsi="Arial" w:cs="Arial"/>
        </w:rPr>
        <w:t>IJBs</w:t>
      </w:r>
      <w:r w:rsidR="00280253">
        <w:rPr>
          <w:rFonts w:ascii="Arial" w:hAnsi="Arial" w:cs="Arial"/>
        </w:rPr>
        <w:t xml:space="preserve"> on 29 June 2021.</w:t>
      </w:r>
    </w:p>
    <w:p w:rsidR="00187D8B" w:rsidRPr="00187D8B" w:rsidRDefault="00187D8B" w:rsidP="00AF3B99">
      <w:pPr>
        <w:pStyle w:val="ListParagraph"/>
        <w:numPr>
          <w:ilvl w:val="0"/>
          <w:numId w:val="1"/>
        </w:numPr>
        <w:spacing w:after="0" w:line="240" w:lineRule="auto"/>
        <w:jc w:val="both"/>
        <w:rPr>
          <w:rFonts w:ascii="Arial" w:hAnsi="Arial" w:cs="Arial"/>
        </w:rPr>
      </w:pPr>
      <w:r w:rsidRPr="00E8339B">
        <w:rPr>
          <w:rFonts w:ascii="Arial" w:hAnsi="Arial" w:cs="Arial"/>
        </w:rPr>
        <w:t>Of the total 2021/22 Scottish Government earmarked recurring PCIP allocation</w:t>
      </w:r>
      <w:r w:rsidRPr="00187D8B">
        <w:rPr>
          <w:rFonts w:ascii="Arial" w:hAnsi="Arial" w:cs="Arial"/>
        </w:rPr>
        <w:t xml:space="preserve"> of </w:t>
      </w:r>
      <w:r w:rsidR="00280253">
        <w:rPr>
          <w:rFonts w:ascii="Arial" w:hAnsi="Arial" w:cs="Arial"/>
          <w:b/>
          <w:color w:val="0070C0"/>
        </w:rPr>
        <w:t>£3.296</w:t>
      </w:r>
      <w:r w:rsidRPr="00187D8B">
        <w:rPr>
          <w:rFonts w:ascii="Arial" w:hAnsi="Arial" w:cs="Arial"/>
          <w:b/>
          <w:color w:val="0070C0"/>
        </w:rPr>
        <w:t>m</w:t>
      </w:r>
      <w:r w:rsidRPr="00187D8B">
        <w:rPr>
          <w:rFonts w:ascii="Arial" w:hAnsi="Arial" w:cs="Arial"/>
        </w:rPr>
        <w:t xml:space="preserve">, </w:t>
      </w:r>
      <w:r w:rsidR="00280253">
        <w:rPr>
          <w:rFonts w:ascii="Arial" w:hAnsi="Arial" w:cs="Arial"/>
          <w:b/>
          <w:color w:val="0070C0"/>
        </w:rPr>
        <w:t>£0.069</w:t>
      </w:r>
      <w:r w:rsidRPr="00187D8B">
        <w:rPr>
          <w:rFonts w:ascii="Arial" w:hAnsi="Arial" w:cs="Arial"/>
          <w:b/>
          <w:color w:val="0070C0"/>
        </w:rPr>
        <w:t>m</w:t>
      </w:r>
      <w:r w:rsidRPr="00187D8B">
        <w:rPr>
          <w:rFonts w:ascii="Arial" w:hAnsi="Arial" w:cs="Arial"/>
        </w:rPr>
        <w:t xml:space="preserve"> remains uncommitted</w:t>
      </w:r>
      <w:r w:rsidR="005067CA">
        <w:rPr>
          <w:rFonts w:ascii="Arial" w:hAnsi="Arial" w:cs="Arial"/>
        </w:rPr>
        <w:t xml:space="preserve"> by PCIP Executive</w:t>
      </w:r>
      <w:r w:rsidRPr="00187D8B">
        <w:rPr>
          <w:rFonts w:ascii="Arial" w:hAnsi="Arial" w:cs="Arial"/>
        </w:rPr>
        <w:t>;</w:t>
      </w:r>
    </w:p>
    <w:p w:rsidR="00187D8B" w:rsidRPr="00187D8B" w:rsidRDefault="00187D8B" w:rsidP="00AF3B99">
      <w:pPr>
        <w:pStyle w:val="ListParagraph"/>
        <w:numPr>
          <w:ilvl w:val="0"/>
          <w:numId w:val="1"/>
        </w:numPr>
        <w:spacing w:after="0" w:line="240" w:lineRule="auto"/>
        <w:jc w:val="both"/>
        <w:rPr>
          <w:rFonts w:ascii="Arial" w:hAnsi="Arial" w:cs="Arial"/>
        </w:rPr>
      </w:pPr>
      <w:r w:rsidRPr="00187D8B">
        <w:rPr>
          <w:rFonts w:ascii="Arial" w:hAnsi="Arial" w:cs="Arial"/>
        </w:rPr>
        <w:t xml:space="preserve">Actual Expenditure at 31 May 2021 is </w:t>
      </w:r>
      <w:r w:rsidRPr="00187D8B">
        <w:rPr>
          <w:rFonts w:ascii="Arial" w:hAnsi="Arial" w:cs="Arial"/>
          <w:b/>
          <w:color w:val="0070C0"/>
        </w:rPr>
        <w:t>£0.473m</w:t>
      </w:r>
      <w:r w:rsidR="00A72158">
        <w:rPr>
          <w:rFonts w:ascii="Arial" w:hAnsi="Arial" w:cs="Arial"/>
          <w:b/>
        </w:rPr>
        <w:t>;</w:t>
      </w:r>
    </w:p>
    <w:p w:rsidR="00187D8B" w:rsidRDefault="00187D8B" w:rsidP="00AF3B99">
      <w:pPr>
        <w:pStyle w:val="ListParagraph"/>
        <w:numPr>
          <w:ilvl w:val="0"/>
          <w:numId w:val="1"/>
        </w:numPr>
        <w:spacing w:after="0" w:line="240" w:lineRule="auto"/>
        <w:jc w:val="both"/>
        <w:rPr>
          <w:rFonts w:ascii="Arial" w:hAnsi="Arial" w:cs="Arial"/>
        </w:rPr>
      </w:pPr>
      <w:r w:rsidRPr="00187D8B">
        <w:rPr>
          <w:rFonts w:ascii="Arial" w:hAnsi="Arial" w:cs="Arial"/>
        </w:rPr>
        <w:t xml:space="preserve">Forecast Expenditure at 31 May 2021 is </w:t>
      </w:r>
      <w:r w:rsidRPr="00187D8B">
        <w:rPr>
          <w:rFonts w:ascii="Arial" w:hAnsi="Arial" w:cs="Arial"/>
          <w:b/>
          <w:color w:val="0070C0"/>
        </w:rPr>
        <w:t>£2.839m</w:t>
      </w:r>
      <w:r>
        <w:rPr>
          <w:rFonts w:ascii="Arial" w:hAnsi="Arial" w:cs="Arial"/>
        </w:rPr>
        <w:t xml:space="preserve">. Forecast drawdown of funding allocation required to meet this therefore is also </w:t>
      </w:r>
      <w:r w:rsidRPr="00187D8B">
        <w:rPr>
          <w:rFonts w:ascii="Arial" w:hAnsi="Arial" w:cs="Arial"/>
          <w:b/>
          <w:color w:val="0070C0"/>
        </w:rPr>
        <w:t>£2.839m</w:t>
      </w:r>
      <w:r w:rsidR="00A72158" w:rsidRPr="00A72158">
        <w:rPr>
          <w:rFonts w:ascii="Arial" w:hAnsi="Arial" w:cs="Arial"/>
        </w:rPr>
        <w:t>;</w:t>
      </w:r>
    </w:p>
    <w:p w:rsidR="00187D8B" w:rsidRPr="00187D8B" w:rsidRDefault="005067CA" w:rsidP="00AF3B99">
      <w:pPr>
        <w:pStyle w:val="ListParagraph"/>
        <w:numPr>
          <w:ilvl w:val="0"/>
          <w:numId w:val="1"/>
        </w:numPr>
        <w:spacing w:after="0" w:line="240" w:lineRule="auto"/>
        <w:jc w:val="both"/>
        <w:rPr>
          <w:rFonts w:ascii="Arial" w:hAnsi="Arial" w:cs="Arial"/>
        </w:rPr>
      </w:pPr>
      <w:r>
        <w:rPr>
          <w:rFonts w:ascii="Arial" w:hAnsi="Arial" w:cs="Arial"/>
        </w:rPr>
        <w:t>Against the total 2021/22 PCIF</w:t>
      </w:r>
      <w:r w:rsidR="00187D8B">
        <w:rPr>
          <w:rFonts w:ascii="Arial" w:hAnsi="Arial" w:cs="Arial"/>
        </w:rPr>
        <w:t xml:space="preserve"> funding allocation therefore, total slippage on the </w:t>
      </w:r>
      <w:r>
        <w:rPr>
          <w:rFonts w:ascii="Arial" w:hAnsi="Arial" w:cs="Arial"/>
        </w:rPr>
        <w:t>PCIP</w:t>
      </w:r>
      <w:r w:rsidR="00187D8B">
        <w:rPr>
          <w:rFonts w:ascii="Arial" w:hAnsi="Arial" w:cs="Arial"/>
        </w:rPr>
        <w:t xml:space="preserve"> is </w:t>
      </w:r>
      <w:r w:rsidR="00187D8B" w:rsidRPr="00187D8B">
        <w:rPr>
          <w:rFonts w:ascii="Arial" w:hAnsi="Arial" w:cs="Arial"/>
          <w:b/>
          <w:color w:val="0070C0"/>
        </w:rPr>
        <w:t>£0.4</w:t>
      </w:r>
      <w:r w:rsidR="00280253">
        <w:rPr>
          <w:rFonts w:ascii="Arial" w:hAnsi="Arial" w:cs="Arial"/>
          <w:b/>
          <w:color w:val="0070C0"/>
        </w:rPr>
        <w:t>56</w:t>
      </w:r>
      <w:r w:rsidR="00187D8B" w:rsidRPr="00187D8B">
        <w:rPr>
          <w:rFonts w:ascii="Arial" w:hAnsi="Arial" w:cs="Arial"/>
          <w:b/>
          <w:color w:val="0070C0"/>
        </w:rPr>
        <w:t>m</w:t>
      </w:r>
      <w:r w:rsidR="00187D8B">
        <w:rPr>
          <w:rFonts w:ascii="Arial" w:hAnsi="Arial" w:cs="Arial"/>
        </w:rPr>
        <w:t xml:space="preserve"> of which </w:t>
      </w:r>
      <w:r w:rsidRPr="00187D8B">
        <w:rPr>
          <w:rFonts w:ascii="Arial" w:hAnsi="Arial" w:cs="Arial"/>
          <w:b/>
          <w:color w:val="0070C0"/>
        </w:rPr>
        <w:t>£0.387m</w:t>
      </w:r>
      <w:r>
        <w:rPr>
          <w:rFonts w:ascii="Arial" w:hAnsi="Arial" w:cs="Arial"/>
        </w:rPr>
        <w:t xml:space="preserve"> has already been directed</w:t>
      </w:r>
      <w:r w:rsidRPr="00280253">
        <w:rPr>
          <w:rFonts w:ascii="Arial" w:hAnsi="Arial" w:cs="Arial"/>
          <w:b/>
          <w:color w:val="0070C0"/>
        </w:rPr>
        <w:t xml:space="preserve"> </w:t>
      </w:r>
      <w:r w:rsidRPr="005067CA">
        <w:rPr>
          <w:rFonts w:ascii="Arial" w:hAnsi="Arial" w:cs="Arial"/>
        </w:rPr>
        <w:t xml:space="preserve">by PCIP Executive and </w:t>
      </w:r>
      <w:r w:rsidR="00187D8B" w:rsidRPr="00280253">
        <w:rPr>
          <w:rFonts w:ascii="Arial" w:hAnsi="Arial" w:cs="Arial"/>
          <w:b/>
          <w:color w:val="0070C0"/>
        </w:rPr>
        <w:t>£0.0</w:t>
      </w:r>
      <w:r w:rsidR="00280253" w:rsidRPr="00280253">
        <w:rPr>
          <w:rFonts w:ascii="Arial" w:hAnsi="Arial" w:cs="Arial"/>
          <w:b/>
          <w:color w:val="0070C0"/>
        </w:rPr>
        <w:t>69</w:t>
      </w:r>
      <w:r w:rsidR="00187D8B" w:rsidRPr="00280253">
        <w:rPr>
          <w:rFonts w:ascii="Arial" w:hAnsi="Arial" w:cs="Arial"/>
          <w:b/>
          <w:color w:val="0070C0"/>
        </w:rPr>
        <w:t>m</w:t>
      </w:r>
      <w:r w:rsidR="00187D8B">
        <w:rPr>
          <w:rFonts w:ascii="Arial" w:hAnsi="Arial" w:cs="Arial"/>
        </w:rPr>
        <w:t xml:space="preserve"> </w:t>
      </w:r>
      <w:r>
        <w:rPr>
          <w:rFonts w:ascii="Arial" w:hAnsi="Arial" w:cs="Arial"/>
        </w:rPr>
        <w:t xml:space="preserve">which </w:t>
      </w:r>
      <w:r w:rsidR="00187D8B">
        <w:rPr>
          <w:rFonts w:ascii="Arial" w:hAnsi="Arial" w:cs="Arial"/>
        </w:rPr>
        <w:t>remains undirected</w:t>
      </w:r>
      <w:r w:rsidR="00A72158">
        <w:rPr>
          <w:rFonts w:ascii="Arial" w:hAnsi="Arial" w:cs="Arial"/>
        </w:rPr>
        <w:t>;</w:t>
      </w:r>
    </w:p>
    <w:p w:rsidR="00AC456B" w:rsidRPr="00EB32F9" w:rsidRDefault="005067CA" w:rsidP="00AF3B99">
      <w:pPr>
        <w:pStyle w:val="ListParagraph"/>
        <w:numPr>
          <w:ilvl w:val="0"/>
          <w:numId w:val="1"/>
        </w:numPr>
        <w:spacing w:after="0" w:line="240" w:lineRule="auto"/>
        <w:jc w:val="both"/>
        <w:rPr>
          <w:rFonts w:ascii="Arial" w:hAnsi="Arial" w:cs="Arial"/>
        </w:rPr>
      </w:pPr>
      <w:r>
        <w:rPr>
          <w:rFonts w:ascii="Arial" w:hAnsi="Arial" w:cs="Arial"/>
        </w:rPr>
        <w:t>It should be noted that f</w:t>
      </w:r>
      <w:r w:rsidR="00AC456B" w:rsidRPr="00EB32F9">
        <w:rPr>
          <w:rFonts w:ascii="Arial" w:hAnsi="Arial" w:cs="Arial"/>
        </w:rPr>
        <w:t>unding allocations include Pharmacy ba</w:t>
      </w:r>
      <w:r w:rsidR="00A40496" w:rsidRPr="00EB32F9">
        <w:rPr>
          <w:rFonts w:ascii="Arial" w:hAnsi="Arial" w:cs="Arial"/>
        </w:rPr>
        <w:t>seline recurring funding</w:t>
      </w:r>
      <w:r>
        <w:rPr>
          <w:rFonts w:ascii="Arial" w:hAnsi="Arial" w:cs="Arial"/>
        </w:rPr>
        <w:t xml:space="preserve"> received</w:t>
      </w:r>
      <w:r w:rsidR="006B6756" w:rsidRPr="00EB32F9">
        <w:rPr>
          <w:rFonts w:ascii="Arial" w:hAnsi="Arial" w:cs="Arial"/>
        </w:rPr>
        <w:t xml:space="preserve"> which has been uplifted for inflation to</w:t>
      </w:r>
      <w:r w:rsidR="00A40496" w:rsidRPr="00EB32F9">
        <w:rPr>
          <w:rFonts w:ascii="Arial" w:hAnsi="Arial" w:cs="Arial"/>
        </w:rPr>
        <w:t xml:space="preserve"> </w:t>
      </w:r>
      <w:r w:rsidR="00A40496" w:rsidRPr="00280253">
        <w:rPr>
          <w:rFonts w:ascii="Arial" w:hAnsi="Arial" w:cs="Arial"/>
          <w:b/>
          <w:color w:val="0070C0"/>
        </w:rPr>
        <w:t>£</w:t>
      </w:r>
      <w:r w:rsidR="00280253" w:rsidRPr="00280253">
        <w:rPr>
          <w:rFonts w:ascii="Arial" w:hAnsi="Arial" w:cs="Arial"/>
          <w:b/>
          <w:color w:val="0070C0"/>
        </w:rPr>
        <w:t>0.164m</w:t>
      </w:r>
      <w:r w:rsidR="00EB32F9" w:rsidRPr="00EB32F9">
        <w:rPr>
          <w:rFonts w:ascii="Arial" w:hAnsi="Arial" w:cs="Arial"/>
        </w:rPr>
        <w:t>. This is the only workstream for which is the case</w:t>
      </w:r>
      <w:r w:rsidR="00A72158" w:rsidRPr="00EB32F9">
        <w:rPr>
          <w:rFonts w:ascii="Arial" w:hAnsi="Arial" w:cs="Arial"/>
        </w:rPr>
        <w:t>;</w:t>
      </w:r>
    </w:p>
    <w:p w:rsidR="00640102" w:rsidRPr="00D87403" w:rsidRDefault="00640102" w:rsidP="00AF3B99">
      <w:pPr>
        <w:pStyle w:val="ListParagraph"/>
        <w:numPr>
          <w:ilvl w:val="0"/>
          <w:numId w:val="1"/>
        </w:numPr>
        <w:spacing w:after="0" w:line="240" w:lineRule="auto"/>
        <w:jc w:val="both"/>
        <w:rPr>
          <w:rFonts w:ascii="Arial" w:hAnsi="Arial" w:cs="Arial"/>
        </w:rPr>
      </w:pPr>
      <w:r w:rsidRPr="00D87403">
        <w:rPr>
          <w:rFonts w:ascii="Arial" w:hAnsi="Arial" w:cs="Arial"/>
        </w:rPr>
        <w:t>Recurring investment agreed for the priority work streams set out in the MoU</w:t>
      </w:r>
      <w:r w:rsidR="00CE58D4" w:rsidRPr="00D87403">
        <w:rPr>
          <w:rFonts w:ascii="Arial" w:hAnsi="Arial" w:cs="Arial"/>
        </w:rPr>
        <w:t xml:space="preserve"> </w:t>
      </w:r>
      <w:r w:rsidR="001265DC" w:rsidRPr="00D87403">
        <w:rPr>
          <w:rFonts w:ascii="Arial" w:hAnsi="Arial" w:cs="Arial"/>
        </w:rPr>
        <w:t>is detailed as</w:t>
      </w:r>
      <w:r w:rsidR="00CE58D4" w:rsidRPr="00D87403">
        <w:rPr>
          <w:rFonts w:ascii="Arial" w:hAnsi="Arial" w:cs="Arial"/>
        </w:rPr>
        <w:t xml:space="preserve"> planned</w:t>
      </w:r>
      <w:r w:rsidR="001265DC" w:rsidRPr="00D87403">
        <w:rPr>
          <w:rFonts w:ascii="Arial" w:hAnsi="Arial" w:cs="Arial"/>
        </w:rPr>
        <w:t xml:space="preserve"> spend against the</w:t>
      </w:r>
      <w:r w:rsidRPr="00D87403">
        <w:rPr>
          <w:rFonts w:ascii="Arial" w:hAnsi="Arial" w:cs="Arial"/>
        </w:rPr>
        <w:t xml:space="preserve"> total funding</w:t>
      </w:r>
      <w:r w:rsidR="001265DC" w:rsidRPr="00D87403">
        <w:rPr>
          <w:rFonts w:ascii="Arial" w:hAnsi="Arial" w:cs="Arial"/>
        </w:rPr>
        <w:t xml:space="preserve"> profile which reflects NHS Borders </w:t>
      </w:r>
      <w:r w:rsidR="00D877DD">
        <w:rPr>
          <w:rFonts w:ascii="Arial" w:hAnsi="Arial" w:cs="Arial"/>
        </w:rPr>
        <w:t xml:space="preserve">NRAC </w:t>
      </w:r>
      <w:r w:rsidR="001265DC" w:rsidRPr="00D87403">
        <w:rPr>
          <w:rFonts w:ascii="Arial" w:hAnsi="Arial" w:cs="Arial"/>
        </w:rPr>
        <w:t xml:space="preserve">share </w:t>
      </w:r>
      <w:r w:rsidR="00280253">
        <w:rPr>
          <w:rFonts w:ascii="Arial" w:hAnsi="Arial" w:cs="Arial"/>
        </w:rPr>
        <w:t xml:space="preserve">(now 2.13%) </w:t>
      </w:r>
      <w:r w:rsidR="001265DC" w:rsidRPr="00D87403">
        <w:rPr>
          <w:rFonts w:ascii="Arial" w:hAnsi="Arial" w:cs="Arial"/>
        </w:rPr>
        <w:t>of £155m</w:t>
      </w:r>
      <w:r w:rsidRPr="00D87403">
        <w:rPr>
          <w:rFonts w:ascii="Arial" w:hAnsi="Arial" w:cs="Arial"/>
        </w:rPr>
        <w:t>.</w:t>
      </w:r>
      <w:r w:rsidR="001265DC" w:rsidRPr="00D87403">
        <w:rPr>
          <w:rFonts w:ascii="Arial" w:hAnsi="Arial" w:cs="Arial"/>
        </w:rPr>
        <w:t xml:space="preserve"> </w:t>
      </w:r>
      <w:r w:rsidR="00280253">
        <w:rPr>
          <w:rFonts w:ascii="Arial" w:hAnsi="Arial" w:cs="Arial"/>
        </w:rPr>
        <w:t xml:space="preserve">The Annual Funding Letter provides for an initial funding allocation for 2021/22 of </w:t>
      </w:r>
      <w:r w:rsidR="00280253" w:rsidRPr="00280253">
        <w:rPr>
          <w:rFonts w:ascii="Arial" w:hAnsi="Arial" w:cs="Arial"/>
          <w:b/>
          <w:color w:val="0070C0"/>
        </w:rPr>
        <w:t>£1.486m</w:t>
      </w:r>
      <w:r w:rsidR="00B27E9C">
        <w:rPr>
          <w:rFonts w:ascii="Arial" w:hAnsi="Arial" w:cs="Arial"/>
        </w:rPr>
        <w:t xml:space="preserve"> representing Borders’ share of a total initial funding allocation of </w:t>
      </w:r>
      <w:r w:rsidR="00B27E9C" w:rsidRPr="00B27E9C">
        <w:rPr>
          <w:rFonts w:ascii="Arial" w:hAnsi="Arial" w:cs="Arial"/>
          <w:b/>
          <w:color w:val="0070C0"/>
        </w:rPr>
        <w:t>£69.700m</w:t>
      </w:r>
      <w:r w:rsidR="00FF63A4">
        <w:rPr>
          <w:rFonts w:ascii="Arial" w:hAnsi="Arial" w:cs="Arial"/>
        </w:rPr>
        <w:t>. The Scottish Government has indicated its intention to allocate further funding later in the financial year subject to reporting by boards and integration authorities in November 2021 detailing how the initial allocation and any brought forward balances have been used.</w:t>
      </w:r>
      <w:r w:rsidR="00041257">
        <w:rPr>
          <w:rFonts w:ascii="Arial" w:hAnsi="Arial" w:cs="Arial"/>
        </w:rPr>
        <w:t xml:space="preserve"> Pivotally therefore, the Executive should consider that if we cannot demonstrate that we have committed or are intending to commit our full allocation in 2021/22, including non-recurring funding brought forward, there is a potential risk that the Scottish Government may not fulfil full allocations this financial year. </w:t>
      </w:r>
      <w:r w:rsidR="00FF63A4">
        <w:rPr>
          <w:rFonts w:ascii="Arial" w:hAnsi="Arial" w:cs="Arial"/>
        </w:rPr>
        <w:t xml:space="preserve"> </w:t>
      </w:r>
    </w:p>
    <w:p w:rsidR="00833123" w:rsidRPr="00D87403" w:rsidRDefault="007A53E5" w:rsidP="00AF3B99">
      <w:pPr>
        <w:pStyle w:val="ListParagraph"/>
        <w:numPr>
          <w:ilvl w:val="0"/>
          <w:numId w:val="1"/>
        </w:numPr>
        <w:spacing w:after="0" w:line="240" w:lineRule="auto"/>
        <w:jc w:val="both"/>
        <w:rPr>
          <w:rFonts w:ascii="Arial" w:hAnsi="Arial" w:cs="Arial"/>
        </w:rPr>
      </w:pPr>
      <w:r w:rsidRPr="00D87403">
        <w:rPr>
          <w:rFonts w:ascii="Arial" w:hAnsi="Arial" w:cs="Arial"/>
        </w:rPr>
        <w:t xml:space="preserve">The financial forecast at this early stage in the financial year </w:t>
      </w:r>
      <w:r w:rsidR="00CE58D4" w:rsidRPr="00D87403">
        <w:rPr>
          <w:rFonts w:ascii="Arial" w:hAnsi="Arial" w:cs="Arial"/>
        </w:rPr>
        <w:t xml:space="preserve">is a total spend of </w:t>
      </w:r>
      <w:r w:rsidR="00CE58D4" w:rsidRPr="00D87403">
        <w:rPr>
          <w:rFonts w:ascii="Arial" w:hAnsi="Arial" w:cs="Arial"/>
          <w:b/>
          <w:color w:val="0070C0"/>
        </w:rPr>
        <w:t>£2.8</w:t>
      </w:r>
      <w:r w:rsidR="00280253">
        <w:rPr>
          <w:rFonts w:ascii="Arial" w:hAnsi="Arial" w:cs="Arial"/>
          <w:b/>
          <w:color w:val="0070C0"/>
        </w:rPr>
        <w:t>39</w:t>
      </w:r>
      <w:r w:rsidR="00CE58D4" w:rsidRPr="00D87403">
        <w:rPr>
          <w:rFonts w:ascii="Arial" w:hAnsi="Arial" w:cs="Arial"/>
          <w:b/>
          <w:color w:val="0070C0"/>
        </w:rPr>
        <w:t>m</w:t>
      </w:r>
      <w:r w:rsidR="00CE58D4" w:rsidRPr="00D87403">
        <w:rPr>
          <w:rFonts w:ascii="Arial" w:hAnsi="Arial" w:cs="Arial"/>
        </w:rPr>
        <w:t>.</w:t>
      </w:r>
    </w:p>
    <w:p w:rsidR="009E1469" w:rsidRPr="00D459B2" w:rsidRDefault="00CE58D4" w:rsidP="00AF3B99">
      <w:pPr>
        <w:pStyle w:val="ListParagraph"/>
        <w:numPr>
          <w:ilvl w:val="0"/>
          <w:numId w:val="1"/>
        </w:numPr>
        <w:spacing w:after="0" w:line="240" w:lineRule="auto"/>
        <w:jc w:val="both"/>
        <w:rPr>
          <w:rFonts w:ascii="Arial" w:hAnsi="Arial" w:cs="Arial"/>
        </w:rPr>
      </w:pPr>
      <w:r w:rsidRPr="00D459B2">
        <w:rPr>
          <w:rFonts w:ascii="Arial" w:hAnsi="Arial" w:cs="Arial"/>
        </w:rPr>
        <w:t>T</w:t>
      </w:r>
      <w:r w:rsidR="00833123" w:rsidRPr="00D459B2">
        <w:rPr>
          <w:rFonts w:ascii="Arial" w:hAnsi="Arial" w:cs="Arial"/>
        </w:rPr>
        <w:t>he March 2021 Finance paper</w:t>
      </w:r>
      <w:r w:rsidRPr="00D459B2">
        <w:rPr>
          <w:rFonts w:ascii="Arial" w:hAnsi="Arial" w:cs="Arial"/>
        </w:rPr>
        <w:t xml:space="preserve"> identified a year end underspend of </w:t>
      </w:r>
      <w:r w:rsidR="00833123" w:rsidRPr="00D459B2">
        <w:rPr>
          <w:rFonts w:ascii="Arial" w:hAnsi="Arial" w:cs="Arial"/>
          <w:b/>
          <w:color w:val="0070C0"/>
        </w:rPr>
        <w:t>£</w:t>
      </w:r>
      <w:r w:rsidR="00D459B2" w:rsidRPr="00D459B2">
        <w:rPr>
          <w:rFonts w:ascii="Arial" w:hAnsi="Arial" w:cs="Arial"/>
          <w:b/>
          <w:color w:val="0070C0"/>
        </w:rPr>
        <w:t>0.</w:t>
      </w:r>
      <w:r w:rsidR="00833123" w:rsidRPr="00D459B2">
        <w:rPr>
          <w:rFonts w:ascii="Arial" w:hAnsi="Arial" w:cs="Arial"/>
          <w:b/>
          <w:color w:val="0070C0"/>
        </w:rPr>
        <w:t>172</w:t>
      </w:r>
      <w:r w:rsidR="00D459B2" w:rsidRPr="00D459B2">
        <w:rPr>
          <w:rFonts w:ascii="Arial" w:hAnsi="Arial" w:cs="Arial"/>
          <w:b/>
          <w:color w:val="0070C0"/>
        </w:rPr>
        <w:t>m</w:t>
      </w:r>
      <w:r w:rsidR="00833123" w:rsidRPr="00D459B2">
        <w:rPr>
          <w:rFonts w:ascii="Arial" w:hAnsi="Arial" w:cs="Arial"/>
        </w:rPr>
        <w:t xml:space="preserve"> </w:t>
      </w:r>
      <w:r w:rsidR="00EB32F9">
        <w:rPr>
          <w:rFonts w:ascii="Arial" w:hAnsi="Arial" w:cs="Arial"/>
        </w:rPr>
        <w:t>non-recurring</w:t>
      </w:r>
      <w:r w:rsidR="00833123" w:rsidRPr="00D459B2">
        <w:rPr>
          <w:rFonts w:ascii="Arial" w:hAnsi="Arial" w:cs="Arial"/>
        </w:rPr>
        <w:t xml:space="preserve">. This amount has been carried forward </w:t>
      </w:r>
      <w:r w:rsidR="00AD10EE">
        <w:rPr>
          <w:rFonts w:ascii="Arial" w:hAnsi="Arial" w:cs="Arial"/>
        </w:rPr>
        <w:t>via</w:t>
      </w:r>
      <w:r w:rsidR="00833123" w:rsidRPr="00D459B2">
        <w:rPr>
          <w:rFonts w:ascii="Arial" w:hAnsi="Arial" w:cs="Arial"/>
        </w:rPr>
        <w:t xml:space="preserve"> IJB </w:t>
      </w:r>
      <w:r w:rsidR="00AD10EE">
        <w:rPr>
          <w:rFonts w:ascii="Arial" w:hAnsi="Arial" w:cs="Arial"/>
        </w:rPr>
        <w:t xml:space="preserve">reserves </w:t>
      </w:r>
      <w:r w:rsidR="00833123" w:rsidRPr="00D459B2">
        <w:rPr>
          <w:rFonts w:ascii="Arial" w:hAnsi="Arial" w:cs="Arial"/>
        </w:rPr>
        <w:t>to</w:t>
      </w:r>
      <w:r w:rsidR="00AD10EE">
        <w:rPr>
          <w:rFonts w:ascii="Arial" w:hAnsi="Arial" w:cs="Arial"/>
        </w:rPr>
        <w:t xml:space="preserve"> this</w:t>
      </w:r>
      <w:r w:rsidRPr="00D459B2">
        <w:rPr>
          <w:rFonts w:ascii="Arial" w:hAnsi="Arial" w:cs="Arial"/>
        </w:rPr>
        <w:t xml:space="preserve"> financial year</w:t>
      </w:r>
      <w:r w:rsidR="00833123" w:rsidRPr="00D459B2">
        <w:rPr>
          <w:rFonts w:ascii="Arial" w:hAnsi="Arial" w:cs="Arial"/>
        </w:rPr>
        <w:t xml:space="preserve"> </w:t>
      </w:r>
      <w:r w:rsidR="00AD10EE">
        <w:rPr>
          <w:rFonts w:ascii="Arial" w:hAnsi="Arial" w:cs="Arial"/>
        </w:rPr>
        <w:t>(</w:t>
      </w:r>
      <w:r w:rsidR="00833123" w:rsidRPr="00D459B2">
        <w:rPr>
          <w:rFonts w:ascii="Arial" w:hAnsi="Arial" w:cs="Arial"/>
        </w:rPr>
        <w:t>2021-22</w:t>
      </w:r>
      <w:r w:rsidR="00AD10EE">
        <w:rPr>
          <w:rFonts w:ascii="Arial" w:hAnsi="Arial" w:cs="Arial"/>
        </w:rPr>
        <w:t>)</w:t>
      </w:r>
      <w:r w:rsidR="00833123" w:rsidRPr="00D459B2">
        <w:rPr>
          <w:rFonts w:ascii="Arial" w:hAnsi="Arial" w:cs="Arial"/>
        </w:rPr>
        <w:t xml:space="preserve">. As agreed at the </w:t>
      </w:r>
      <w:r w:rsidR="00AD10EE">
        <w:rPr>
          <w:rFonts w:ascii="Arial" w:hAnsi="Arial" w:cs="Arial"/>
        </w:rPr>
        <w:t xml:space="preserve">recent PCIP </w:t>
      </w:r>
      <w:r w:rsidR="00833123" w:rsidRPr="00D459B2">
        <w:rPr>
          <w:rFonts w:ascii="Arial" w:hAnsi="Arial" w:cs="Arial"/>
        </w:rPr>
        <w:t>finance session held to discuss the additional nonrecurring allocation, this fun</w:t>
      </w:r>
      <w:r w:rsidRPr="00D459B2">
        <w:rPr>
          <w:rFonts w:ascii="Arial" w:hAnsi="Arial" w:cs="Arial"/>
        </w:rPr>
        <w:t xml:space="preserve">ding will be used to support </w:t>
      </w:r>
      <w:r w:rsidR="00833123" w:rsidRPr="00D459B2">
        <w:rPr>
          <w:rFonts w:ascii="Arial" w:hAnsi="Arial" w:cs="Arial"/>
        </w:rPr>
        <w:t>requests recei</w:t>
      </w:r>
      <w:r w:rsidR="00F8491F" w:rsidRPr="00D459B2">
        <w:rPr>
          <w:rFonts w:ascii="Arial" w:hAnsi="Arial" w:cs="Arial"/>
        </w:rPr>
        <w:t>ved from the workstreams</w:t>
      </w:r>
      <w:r w:rsidR="00833123" w:rsidRPr="00D459B2">
        <w:rPr>
          <w:rFonts w:ascii="Arial" w:hAnsi="Arial" w:cs="Arial"/>
        </w:rPr>
        <w:t xml:space="preserve"> for one off </w:t>
      </w:r>
      <w:r w:rsidRPr="00D459B2">
        <w:rPr>
          <w:rFonts w:ascii="Arial" w:hAnsi="Arial" w:cs="Arial"/>
        </w:rPr>
        <w:t xml:space="preserve">supplies </w:t>
      </w:r>
      <w:r w:rsidR="00833123" w:rsidRPr="00D459B2">
        <w:rPr>
          <w:rFonts w:ascii="Arial" w:hAnsi="Arial" w:cs="Arial"/>
        </w:rPr>
        <w:t xml:space="preserve">items and also to </w:t>
      </w:r>
      <w:r w:rsidR="005C5D6C" w:rsidRPr="00D459B2">
        <w:rPr>
          <w:rFonts w:ascii="Arial" w:hAnsi="Arial" w:cs="Arial"/>
        </w:rPr>
        <w:t>extend the</w:t>
      </w:r>
      <w:r w:rsidR="007230EB">
        <w:rPr>
          <w:rFonts w:ascii="Arial" w:hAnsi="Arial" w:cs="Arial"/>
        </w:rPr>
        <w:t xml:space="preserve"> PCIP</w:t>
      </w:r>
      <w:r w:rsidR="005C5D6C" w:rsidRPr="00D459B2">
        <w:rPr>
          <w:rFonts w:ascii="Arial" w:hAnsi="Arial" w:cs="Arial"/>
        </w:rPr>
        <w:t xml:space="preserve"> project manager</w:t>
      </w:r>
      <w:r w:rsidR="00833123" w:rsidRPr="00D459B2">
        <w:rPr>
          <w:rFonts w:ascii="Arial" w:hAnsi="Arial" w:cs="Arial"/>
        </w:rPr>
        <w:t xml:space="preserve"> pos</w:t>
      </w:r>
      <w:r w:rsidRPr="00D459B2">
        <w:rPr>
          <w:rFonts w:ascii="Arial" w:hAnsi="Arial" w:cs="Arial"/>
        </w:rPr>
        <w:t xml:space="preserve">t </w:t>
      </w:r>
      <w:r w:rsidR="005C5D6C" w:rsidRPr="00D459B2">
        <w:rPr>
          <w:rFonts w:ascii="Arial" w:hAnsi="Arial" w:cs="Arial"/>
        </w:rPr>
        <w:t>until the 31</w:t>
      </w:r>
      <w:r w:rsidR="005C5D6C" w:rsidRPr="00D459B2">
        <w:rPr>
          <w:rFonts w:ascii="Arial" w:hAnsi="Arial" w:cs="Arial"/>
          <w:vertAlign w:val="superscript"/>
        </w:rPr>
        <w:t>st</w:t>
      </w:r>
      <w:r w:rsidR="00A72158">
        <w:rPr>
          <w:rFonts w:ascii="Arial" w:hAnsi="Arial" w:cs="Arial"/>
        </w:rPr>
        <w:t xml:space="preserve"> of March 2022;</w:t>
      </w:r>
    </w:p>
    <w:p w:rsidR="005B76A2" w:rsidRDefault="00E8339B" w:rsidP="00AF3B99">
      <w:pPr>
        <w:pStyle w:val="ListParagraph"/>
        <w:numPr>
          <w:ilvl w:val="0"/>
          <w:numId w:val="1"/>
        </w:numPr>
        <w:spacing w:after="0" w:line="240" w:lineRule="auto"/>
        <w:jc w:val="both"/>
        <w:rPr>
          <w:rFonts w:ascii="Arial" w:hAnsi="Arial" w:cs="Arial"/>
        </w:rPr>
      </w:pPr>
      <w:r>
        <w:rPr>
          <w:rFonts w:ascii="Arial" w:hAnsi="Arial" w:cs="Arial"/>
        </w:rPr>
        <w:t>PCIP Executive has yet to approve any proposals pertaining to the Vaccine Transformation Programme (VTP)</w:t>
      </w:r>
      <w:r w:rsidR="00AD10EE">
        <w:rPr>
          <w:rFonts w:ascii="Arial" w:hAnsi="Arial" w:cs="Arial"/>
        </w:rPr>
        <w:t xml:space="preserve"> workstream</w:t>
      </w:r>
      <w:r>
        <w:rPr>
          <w:rFonts w:ascii="Arial" w:hAnsi="Arial" w:cs="Arial"/>
        </w:rPr>
        <w:t xml:space="preserve">. No expenditure has therefore been incurred with regard to this workstream in 2021/22 to date. Current indications are that VTP requires in the region of </w:t>
      </w:r>
      <w:r w:rsidRPr="00AD10EE">
        <w:rPr>
          <w:rFonts w:ascii="Arial" w:hAnsi="Arial" w:cs="Arial"/>
          <w:b/>
          <w:color w:val="0070C0"/>
        </w:rPr>
        <w:t>£0.735m</w:t>
      </w:r>
      <w:r>
        <w:rPr>
          <w:rFonts w:ascii="Arial" w:hAnsi="Arial" w:cs="Arial"/>
        </w:rPr>
        <w:t xml:space="preserve"> per annum which has increased the gap on forecast required PCI</w:t>
      </w:r>
      <w:r w:rsidR="00AD10EE">
        <w:rPr>
          <w:rFonts w:ascii="Arial" w:hAnsi="Arial" w:cs="Arial"/>
        </w:rPr>
        <w:t>F</w:t>
      </w:r>
      <w:r>
        <w:rPr>
          <w:rFonts w:ascii="Arial" w:hAnsi="Arial" w:cs="Arial"/>
        </w:rPr>
        <w:t xml:space="preserve"> funding reported to</w:t>
      </w:r>
      <w:r w:rsidR="00A72158">
        <w:rPr>
          <w:rFonts w:ascii="Arial" w:hAnsi="Arial" w:cs="Arial"/>
        </w:rPr>
        <w:t xml:space="preserve"> the Scottish Government in May;</w:t>
      </w:r>
    </w:p>
    <w:p w:rsidR="00E8339B" w:rsidRPr="00E8339B" w:rsidRDefault="00E8339B" w:rsidP="00AF3B99">
      <w:pPr>
        <w:pStyle w:val="ListParagraph"/>
        <w:numPr>
          <w:ilvl w:val="0"/>
          <w:numId w:val="1"/>
        </w:numPr>
        <w:spacing w:after="0" w:line="240" w:lineRule="auto"/>
        <w:jc w:val="both"/>
        <w:rPr>
          <w:rFonts w:ascii="Arial" w:hAnsi="Arial" w:cs="Arial"/>
        </w:rPr>
      </w:pPr>
      <w:r>
        <w:rPr>
          <w:rFonts w:ascii="Arial" w:hAnsi="Arial" w:cs="Arial"/>
        </w:rPr>
        <w:t xml:space="preserve">PCIP Executive has directed </w:t>
      </w:r>
      <w:r w:rsidRPr="00E8339B">
        <w:rPr>
          <w:rFonts w:ascii="Arial" w:hAnsi="Arial" w:cs="Arial"/>
          <w:b/>
          <w:color w:val="0070C0"/>
        </w:rPr>
        <w:t>£0.105m</w:t>
      </w:r>
      <w:r>
        <w:rPr>
          <w:rFonts w:ascii="Arial" w:hAnsi="Arial" w:cs="Arial"/>
        </w:rPr>
        <w:t xml:space="preserve"> of planned resource to Community Treatment and Care Services (CTCS). No expenditure has been incurred in relation to this workstream in 2021/22 to date and a scoping exercise is currently about to commence in order to better inform the extent of this workstream, component elements and likely resource requirements</w:t>
      </w:r>
      <w:r w:rsidR="00AD10EE">
        <w:rPr>
          <w:rFonts w:ascii="Arial" w:hAnsi="Arial" w:cs="Arial"/>
        </w:rPr>
        <w:t>. This will in turn</w:t>
      </w:r>
      <w:r>
        <w:rPr>
          <w:rFonts w:ascii="Arial" w:hAnsi="Arial" w:cs="Arial"/>
        </w:rPr>
        <w:t xml:space="preserve"> inform </w:t>
      </w:r>
      <w:r w:rsidR="00AD10EE">
        <w:rPr>
          <w:rFonts w:ascii="Arial" w:hAnsi="Arial" w:cs="Arial"/>
        </w:rPr>
        <w:t xml:space="preserve">the </w:t>
      </w:r>
      <w:r>
        <w:rPr>
          <w:rFonts w:ascii="Arial" w:hAnsi="Arial" w:cs="Arial"/>
        </w:rPr>
        <w:t xml:space="preserve">further planning, direction and management of this workstream </w:t>
      </w:r>
      <w:r w:rsidR="00AD10EE">
        <w:rPr>
          <w:rFonts w:ascii="Arial" w:hAnsi="Arial" w:cs="Arial"/>
        </w:rPr>
        <w:t xml:space="preserve">going forward, together with the </w:t>
      </w:r>
      <w:r>
        <w:rPr>
          <w:rFonts w:ascii="Arial" w:hAnsi="Arial" w:cs="Arial"/>
        </w:rPr>
        <w:t>likely resource requirements which will be reported to the Scottish Government.</w:t>
      </w:r>
    </w:p>
    <w:p w:rsidR="00F41FC1" w:rsidRDefault="00F41FC1" w:rsidP="00AF3B99">
      <w:pPr>
        <w:jc w:val="both"/>
        <w:rPr>
          <w:rFonts w:ascii="Arial" w:hAnsi="Arial" w:cs="Arial"/>
          <w:noProof/>
          <w:sz w:val="22"/>
          <w:szCs w:val="22"/>
          <w:highlight w:val="yellow"/>
          <w:lang w:eastAsia="en-GB"/>
        </w:rPr>
      </w:pPr>
    </w:p>
    <w:p w:rsidR="00D459B2" w:rsidRPr="00AE7D71" w:rsidRDefault="00D459B2" w:rsidP="00AF3B99">
      <w:pPr>
        <w:jc w:val="both"/>
        <w:rPr>
          <w:rFonts w:ascii="Arial" w:hAnsi="Arial" w:cs="Arial"/>
          <w:noProof/>
          <w:sz w:val="22"/>
          <w:szCs w:val="22"/>
          <w:highlight w:val="yellow"/>
          <w:lang w:eastAsia="en-GB"/>
        </w:rPr>
      </w:pPr>
    </w:p>
    <w:p w:rsidR="00AD10EE" w:rsidRDefault="00AD10EE">
      <w:pPr>
        <w:spacing w:after="200" w:line="276" w:lineRule="auto"/>
        <w:rPr>
          <w:rFonts w:ascii="Arial" w:hAnsi="Arial" w:cs="Arial"/>
          <w:b/>
          <w:noProof/>
          <w:sz w:val="22"/>
          <w:szCs w:val="22"/>
          <w:lang w:eastAsia="en-GB"/>
        </w:rPr>
      </w:pPr>
      <w:r>
        <w:rPr>
          <w:rFonts w:ascii="Arial" w:hAnsi="Arial" w:cs="Arial"/>
          <w:b/>
          <w:noProof/>
          <w:sz w:val="22"/>
          <w:szCs w:val="22"/>
          <w:lang w:eastAsia="en-GB"/>
        </w:rPr>
        <w:br w:type="page"/>
      </w:r>
    </w:p>
    <w:p w:rsidR="005E2864" w:rsidRPr="005241BD" w:rsidRDefault="005E2864" w:rsidP="00AF3B99">
      <w:pPr>
        <w:ind w:firstLine="360"/>
        <w:jc w:val="both"/>
        <w:rPr>
          <w:rFonts w:ascii="Arial" w:hAnsi="Arial" w:cs="Arial"/>
          <w:b/>
          <w:noProof/>
          <w:sz w:val="22"/>
          <w:szCs w:val="22"/>
          <w:lang w:eastAsia="en-GB"/>
        </w:rPr>
      </w:pPr>
      <w:r w:rsidRPr="005241BD">
        <w:rPr>
          <w:rFonts w:ascii="Arial" w:hAnsi="Arial" w:cs="Arial"/>
          <w:b/>
          <w:noProof/>
          <w:sz w:val="22"/>
          <w:szCs w:val="22"/>
          <w:lang w:eastAsia="en-GB"/>
        </w:rPr>
        <w:lastRenderedPageBreak/>
        <w:t>Additonal Non Recurring Allocation 2020-21</w:t>
      </w:r>
    </w:p>
    <w:p w:rsidR="005E2864" w:rsidRPr="00AE7D71" w:rsidRDefault="005E2864" w:rsidP="00AF3B99">
      <w:pPr>
        <w:ind w:left="360"/>
        <w:jc w:val="both"/>
        <w:rPr>
          <w:rFonts w:ascii="Arial" w:hAnsi="Arial" w:cs="Arial"/>
          <w:noProof/>
          <w:sz w:val="22"/>
          <w:szCs w:val="22"/>
          <w:highlight w:val="yellow"/>
          <w:lang w:eastAsia="en-GB"/>
        </w:rPr>
      </w:pPr>
    </w:p>
    <w:p w:rsidR="005E2864" w:rsidRPr="00723F9B" w:rsidRDefault="00723F9B" w:rsidP="00AF3B99">
      <w:pPr>
        <w:ind w:left="360"/>
        <w:jc w:val="both"/>
        <w:rPr>
          <w:rFonts w:ascii="Arial" w:hAnsi="Arial" w:cs="Arial"/>
          <w:noProof/>
          <w:sz w:val="22"/>
          <w:szCs w:val="22"/>
          <w:lang w:eastAsia="en-GB"/>
        </w:rPr>
      </w:pPr>
      <w:r w:rsidRPr="00723F9B">
        <w:rPr>
          <w:rFonts w:ascii="Arial" w:hAnsi="Arial" w:cs="Arial"/>
          <w:noProof/>
          <w:sz w:val="22"/>
          <w:szCs w:val="22"/>
          <w:lang w:eastAsia="en-GB"/>
        </w:rPr>
        <w:t>As reported in June, Scottish Government</w:t>
      </w:r>
      <w:r w:rsidR="005E2864" w:rsidRPr="00723F9B">
        <w:rPr>
          <w:rFonts w:ascii="Arial" w:hAnsi="Arial" w:cs="Arial"/>
          <w:noProof/>
          <w:sz w:val="22"/>
          <w:szCs w:val="22"/>
          <w:lang w:eastAsia="en-GB"/>
        </w:rPr>
        <w:t xml:space="preserve"> Health </w:t>
      </w:r>
      <w:r w:rsidRPr="00723F9B">
        <w:rPr>
          <w:rFonts w:ascii="Arial" w:hAnsi="Arial" w:cs="Arial"/>
          <w:noProof/>
          <w:sz w:val="22"/>
          <w:szCs w:val="22"/>
          <w:lang w:eastAsia="en-GB"/>
        </w:rPr>
        <w:t xml:space="preserve">Directorate </w:t>
      </w:r>
      <w:r w:rsidR="005E2864" w:rsidRPr="00723F9B">
        <w:rPr>
          <w:rFonts w:ascii="Arial" w:hAnsi="Arial" w:cs="Arial"/>
          <w:noProof/>
          <w:sz w:val="22"/>
          <w:szCs w:val="22"/>
          <w:lang w:eastAsia="en-GB"/>
        </w:rPr>
        <w:t>Finance wrote to all NHS Boards in February to notify them of an allocation of funding being made to Intergration Authorities in respect of outstanding balances on the Primary Care Improvement Fund. The al</w:t>
      </w:r>
      <w:r w:rsidR="00AD10EE">
        <w:rPr>
          <w:rFonts w:ascii="Arial" w:hAnsi="Arial" w:cs="Arial"/>
          <w:noProof/>
          <w:sz w:val="22"/>
          <w:szCs w:val="22"/>
          <w:lang w:eastAsia="en-GB"/>
        </w:rPr>
        <w:t xml:space="preserve">location respresents </w:t>
      </w:r>
      <w:r w:rsidR="005E2864" w:rsidRPr="00723F9B">
        <w:rPr>
          <w:rFonts w:ascii="Arial" w:hAnsi="Arial" w:cs="Arial"/>
          <w:noProof/>
          <w:sz w:val="22"/>
          <w:szCs w:val="22"/>
          <w:lang w:eastAsia="en-GB"/>
        </w:rPr>
        <w:t xml:space="preserve">unused funding accumulated over the three years of the MoU 2018-2021. For NHS Borders this </w:t>
      </w:r>
      <w:r w:rsidR="00AD10EE">
        <w:rPr>
          <w:rFonts w:ascii="Arial" w:hAnsi="Arial" w:cs="Arial"/>
          <w:noProof/>
          <w:sz w:val="22"/>
          <w:szCs w:val="22"/>
          <w:lang w:eastAsia="en-GB"/>
        </w:rPr>
        <w:t>supplementary allocation of</w:t>
      </w:r>
      <w:r w:rsidR="005E2864" w:rsidRPr="00723F9B">
        <w:rPr>
          <w:rFonts w:ascii="Arial" w:hAnsi="Arial" w:cs="Arial"/>
          <w:noProof/>
          <w:sz w:val="22"/>
          <w:szCs w:val="22"/>
          <w:lang w:eastAsia="en-GB"/>
        </w:rPr>
        <w:t xml:space="preserve"> </w:t>
      </w:r>
      <w:r w:rsidRPr="00723F9B">
        <w:rPr>
          <w:rFonts w:ascii="Arial" w:hAnsi="Arial" w:cs="Arial"/>
          <w:b/>
          <w:noProof/>
          <w:color w:val="0070C0"/>
          <w:sz w:val="22"/>
          <w:szCs w:val="22"/>
          <w:lang w:eastAsia="en-GB"/>
        </w:rPr>
        <w:t>£1.097m</w:t>
      </w:r>
      <w:r w:rsidR="007E0A63" w:rsidRPr="00723F9B">
        <w:rPr>
          <w:rFonts w:ascii="Arial" w:hAnsi="Arial" w:cs="Arial"/>
          <w:noProof/>
          <w:sz w:val="22"/>
          <w:szCs w:val="22"/>
          <w:lang w:eastAsia="en-GB"/>
        </w:rPr>
        <w:t xml:space="preserve"> </w:t>
      </w:r>
      <w:r w:rsidR="00AD10EE">
        <w:rPr>
          <w:rFonts w:ascii="Arial" w:hAnsi="Arial" w:cs="Arial"/>
          <w:noProof/>
          <w:sz w:val="22"/>
          <w:szCs w:val="22"/>
          <w:lang w:eastAsia="en-GB"/>
        </w:rPr>
        <w:t>and</w:t>
      </w:r>
      <w:r>
        <w:rPr>
          <w:rFonts w:ascii="Arial" w:hAnsi="Arial" w:cs="Arial"/>
          <w:noProof/>
          <w:sz w:val="22"/>
          <w:szCs w:val="22"/>
          <w:lang w:eastAsia="en-GB"/>
        </w:rPr>
        <w:t xml:space="preserve"> is non-recurring.</w:t>
      </w:r>
    </w:p>
    <w:p w:rsidR="00723F9B" w:rsidRPr="00AE7D71" w:rsidRDefault="00723F9B" w:rsidP="00AF3B99">
      <w:pPr>
        <w:ind w:left="360"/>
        <w:jc w:val="both"/>
        <w:rPr>
          <w:rFonts w:ascii="Arial" w:hAnsi="Arial" w:cs="Arial"/>
          <w:noProof/>
          <w:sz w:val="22"/>
          <w:szCs w:val="22"/>
          <w:highlight w:val="yellow"/>
          <w:lang w:eastAsia="en-GB"/>
        </w:rPr>
      </w:pPr>
    </w:p>
    <w:p w:rsidR="00723F9B" w:rsidRPr="00723F9B" w:rsidRDefault="00723F9B" w:rsidP="00AF3B99">
      <w:pPr>
        <w:ind w:left="360"/>
        <w:jc w:val="both"/>
        <w:rPr>
          <w:rFonts w:ascii="Arial" w:hAnsi="Arial" w:cs="Arial"/>
          <w:noProof/>
          <w:sz w:val="22"/>
          <w:szCs w:val="22"/>
          <w:lang w:eastAsia="en-GB"/>
        </w:rPr>
      </w:pPr>
      <w:r w:rsidRPr="00723F9B">
        <w:rPr>
          <w:rFonts w:ascii="Arial" w:hAnsi="Arial" w:cs="Arial"/>
          <w:noProof/>
          <w:sz w:val="22"/>
          <w:szCs w:val="22"/>
          <w:lang w:eastAsia="en-GB"/>
        </w:rPr>
        <w:t>As a result of its</w:t>
      </w:r>
      <w:r w:rsidR="007E0A63" w:rsidRPr="00723F9B">
        <w:rPr>
          <w:rFonts w:ascii="Arial" w:hAnsi="Arial" w:cs="Arial"/>
          <w:noProof/>
          <w:sz w:val="22"/>
          <w:szCs w:val="22"/>
          <w:lang w:eastAsia="en-GB"/>
        </w:rPr>
        <w:t xml:space="preserve"> non recurring </w:t>
      </w:r>
      <w:r w:rsidRPr="00723F9B">
        <w:rPr>
          <w:rFonts w:ascii="Arial" w:hAnsi="Arial" w:cs="Arial"/>
          <w:noProof/>
          <w:sz w:val="22"/>
          <w:szCs w:val="22"/>
          <w:lang w:eastAsia="en-GB"/>
        </w:rPr>
        <w:t>nature, this supplementary allocation</w:t>
      </w:r>
      <w:r w:rsidR="007E0A63" w:rsidRPr="00723F9B">
        <w:rPr>
          <w:rFonts w:ascii="Arial" w:hAnsi="Arial" w:cs="Arial"/>
          <w:noProof/>
          <w:sz w:val="22"/>
          <w:szCs w:val="22"/>
          <w:lang w:eastAsia="en-GB"/>
        </w:rPr>
        <w:t xml:space="preserve"> therefore cannot be used to fund permanent staff o</w:t>
      </w:r>
      <w:r w:rsidRPr="00723F9B">
        <w:rPr>
          <w:rFonts w:ascii="Arial" w:hAnsi="Arial" w:cs="Arial"/>
          <w:noProof/>
          <w:sz w:val="22"/>
          <w:szCs w:val="22"/>
          <w:lang w:eastAsia="en-GB"/>
        </w:rPr>
        <w:t>r</w:t>
      </w:r>
      <w:r w:rsidR="007E0A63" w:rsidRPr="00723F9B">
        <w:rPr>
          <w:rFonts w:ascii="Arial" w:hAnsi="Arial" w:cs="Arial"/>
          <w:noProof/>
          <w:sz w:val="22"/>
          <w:szCs w:val="22"/>
          <w:lang w:eastAsia="en-GB"/>
        </w:rPr>
        <w:t xml:space="preserve"> any other recurring expenditure. The funding is ringfenced to support enabling</w:t>
      </w:r>
      <w:r w:rsidRPr="00723F9B">
        <w:rPr>
          <w:rFonts w:ascii="Arial" w:hAnsi="Arial" w:cs="Arial"/>
          <w:noProof/>
          <w:sz w:val="22"/>
          <w:szCs w:val="22"/>
          <w:lang w:eastAsia="en-GB"/>
        </w:rPr>
        <w:t xml:space="preserve"> works to deliver PCIP priorite</w:t>
      </w:r>
      <w:r w:rsidR="007E0A63" w:rsidRPr="00723F9B">
        <w:rPr>
          <w:rFonts w:ascii="Arial" w:hAnsi="Arial" w:cs="Arial"/>
          <w:noProof/>
          <w:sz w:val="22"/>
          <w:szCs w:val="22"/>
          <w:lang w:eastAsia="en-GB"/>
        </w:rPr>
        <w:t xml:space="preserve">s in full and as such cannot be used </w:t>
      </w:r>
      <w:r w:rsidRPr="00723F9B">
        <w:rPr>
          <w:rFonts w:ascii="Arial" w:hAnsi="Arial" w:cs="Arial"/>
          <w:noProof/>
          <w:sz w:val="22"/>
          <w:szCs w:val="22"/>
          <w:lang w:eastAsia="en-GB"/>
        </w:rPr>
        <w:t>by health boards to offset slippage on the delivery of Financial Plan</w:t>
      </w:r>
      <w:r w:rsidR="007E0A63" w:rsidRPr="00723F9B">
        <w:rPr>
          <w:rFonts w:ascii="Arial" w:hAnsi="Arial" w:cs="Arial"/>
          <w:noProof/>
          <w:sz w:val="22"/>
          <w:szCs w:val="22"/>
          <w:lang w:eastAsia="en-GB"/>
        </w:rPr>
        <w:t xml:space="preserve"> savings</w:t>
      </w:r>
      <w:r w:rsidRPr="00723F9B">
        <w:rPr>
          <w:rFonts w:ascii="Arial" w:hAnsi="Arial" w:cs="Arial"/>
          <w:noProof/>
          <w:sz w:val="22"/>
          <w:szCs w:val="22"/>
          <w:lang w:eastAsia="en-GB"/>
        </w:rPr>
        <w:t xml:space="preserve"> or meet pressures on expenditure across any other non-PCIP services or workstreams</w:t>
      </w:r>
      <w:r w:rsidR="007E0A63" w:rsidRPr="00723F9B">
        <w:rPr>
          <w:rFonts w:ascii="Arial" w:hAnsi="Arial" w:cs="Arial"/>
          <w:noProof/>
          <w:sz w:val="22"/>
          <w:szCs w:val="22"/>
          <w:lang w:eastAsia="en-GB"/>
        </w:rPr>
        <w:t xml:space="preserve">. </w:t>
      </w:r>
    </w:p>
    <w:p w:rsidR="00723F9B" w:rsidRDefault="00723F9B" w:rsidP="00AF3B99">
      <w:pPr>
        <w:ind w:left="360"/>
        <w:jc w:val="both"/>
        <w:rPr>
          <w:rFonts w:ascii="Arial" w:hAnsi="Arial" w:cs="Arial"/>
          <w:noProof/>
          <w:sz w:val="22"/>
          <w:szCs w:val="22"/>
          <w:highlight w:val="yellow"/>
          <w:lang w:eastAsia="en-GB"/>
        </w:rPr>
      </w:pPr>
    </w:p>
    <w:p w:rsidR="00D90960" w:rsidRPr="00D90960" w:rsidRDefault="00D90960" w:rsidP="00AF3B99">
      <w:pPr>
        <w:ind w:left="360"/>
        <w:jc w:val="both"/>
        <w:rPr>
          <w:rFonts w:ascii="Arial" w:hAnsi="Arial" w:cs="Arial"/>
          <w:noProof/>
          <w:sz w:val="22"/>
          <w:szCs w:val="22"/>
          <w:lang w:eastAsia="en-GB"/>
        </w:rPr>
      </w:pPr>
      <w:r w:rsidRPr="00D90960">
        <w:rPr>
          <w:rFonts w:ascii="Arial" w:hAnsi="Arial" w:cs="Arial"/>
          <w:noProof/>
          <w:sz w:val="22"/>
          <w:szCs w:val="22"/>
          <w:lang w:eastAsia="en-GB"/>
        </w:rPr>
        <w:t xml:space="preserve">The confirmed PCIP carry forward included within the Health and Social Care Partnership Earmarked Reserve at 31 March 2021 as reported within the (currently unaudited) IJB Annual Accounts totals </w:t>
      </w:r>
      <w:r>
        <w:rPr>
          <w:rFonts w:ascii="Arial" w:hAnsi="Arial" w:cs="Arial"/>
          <w:b/>
          <w:noProof/>
          <w:color w:val="0070C0"/>
          <w:sz w:val="22"/>
          <w:szCs w:val="22"/>
          <w:lang w:eastAsia="en-GB"/>
        </w:rPr>
        <w:t>£1.269</w:t>
      </w:r>
      <w:r w:rsidRPr="00D90960">
        <w:rPr>
          <w:rFonts w:ascii="Arial" w:hAnsi="Arial" w:cs="Arial"/>
          <w:b/>
          <w:noProof/>
          <w:color w:val="0070C0"/>
          <w:sz w:val="22"/>
          <w:szCs w:val="22"/>
          <w:lang w:eastAsia="en-GB"/>
        </w:rPr>
        <w:t>m</w:t>
      </w:r>
      <w:r w:rsidRPr="00D90960">
        <w:rPr>
          <w:rFonts w:ascii="Arial" w:hAnsi="Arial" w:cs="Arial"/>
          <w:noProof/>
          <w:sz w:val="22"/>
          <w:szCs w:val="22"/>
          <w:lang w:eastAsia="en-GB"/>
        </w:rPr>
        <w:t xml:space="preserve"> of which </w:t>
      </w:r>
      <w:r w:rsidRPr="00D90960">
        <w:rPr>
          <w:rFonts w:ascii="Arial" w:hAnsi="Arial" w:cs="Arial"/>
          <w:b/>
          <w:noProof/>
          <w:color w:val="0070C0"/>
          <w:sz w:val="22"/>
          <w:szCs w:val="22"/>
          <w:lang w:eastAsia="en-GB"/>
        </w:rPr>
        <w:t>£1.097m</w:t>
      </w:r>
      <w:r w:rsidRPr="00D90960">
        <w:rPr>
          <w:rFonts w:ascii="Arial" w:hAnsi="Arial" w:cs="Arial"/>
          <w:noProof/>
          <w:sz w:val="22"/>
          <w:szCs w:val="22"/>
          <w:lang w:eastAsia="en-GB"/>
        </w:rPr>
        <w:t xml:space="preserve"> relates to the non-recurring supplementary allocation uncommitted at 31 March 2021 and </w:t>
      </w:r>
      <w:r w:rsidRPr="00D90960">
        <w:rPr>
          <w:rFonts w:ascii="Arial" w:hAnsi="Arial" w:cs="Arial"/>
          <w:b/>
          <w:noProof/>
          <w:color w:val="0070C0"/>
          <w:sz w:val="22"/>
          <w:szCs w:val="22"/>
          <w:lang w:eastAsia="en-GB"/>
        </w:rPr>
        <w:t>£0.172m</w:t>
      </w:r>
      <w:r w:rsidRPr="00D90960">
        <w:rPr>
          <w:rFonts w:ascii="Arial" w:hAnsi="Arial" w:cs="Arial"/>
          <w:noProof/>
          <w:sz w:val="22"/>
          <w:szCs w:val="22"/>
          <w:lang w:eastAsia="en-GB"/>
        </w:rPr>
        <w:t xml:space="preserve"> slippage on PCIP workstreams during 2020/21.</w:t>
      </w:r>
    </w:p>
    <w:p w:rsidR="00D90960" w:rsidRDefault="00D90960" w:rsidP="00AF3B99">
      <w:pPr>
        <w:ind w:left="360"/>
        <w:jc w:val="both"/>
        <w:rPr>
          <w:rFonts w:ascii="Arial" w:hAnsi="Arial" w:cs="Arial"/>
          <w:noProof/>
          <w:sz w:val="22"/>
          <w:szCs w:val="22"/>
          <w:highlight w:val="yellow"/>
          <w:lang w:eastAsia="en-GB"/>
        </w:rPr>
      </w:pPr>
    </w:p>
    <w:p w:rsidR="00BF71D8" w:rsidRPr="00714DD3" w:rsidRDefault="002127D5" w:rsidP="00AF3B99">
      <w:pPr>
        <w:ind w:left="360"/>
        <w:jc w:val="both"/>
        <w:rPr>
          <w:rFonts w:ascii="Arial" w:hAnsi="Arial" w:cs="Arial"/>
          <w:noProof/>
          <w:sz w:val="22"/>
          <w:szCs w:val="22"/>
          <w:lang w:eastAsia="en-GB"/>
        </w:rPr>
      </w:pPr>
      <w:r w:rsidRPr="00714DD3">
        <w:rPr>
          <w:rFonts w:ascii="Arial" w:hAnsi="Arial" w:cs="Arial"/>
          <w:noProof/>
          <w:sz w:val="22"/>
          <w:szCs w:val="22"/>
          <w:lang w:eastAsia="en-GB"/>
        </w:rPr>
        <w:t>Expenditure against the non-recurring supplementary PCIP allocation will be accounted for separately from that relating to workstreams funded by the main recurring allocation and reported to the PCIP Execu</w:t>
      </w:r>
      <w:r w:rsidR="00AD10EE">
        <w:rPr>
          <w:rFonts w:ascii="Arial" w:hAnsi="Arial" w:cs="Arial"/>
          <w:noProof/>
          <w:sz w:val="22"/>
          <w:szCs w:val="22"/>
          <w:lang w:eastAsia="en-GB"/>
        </w:rPr>
        <w:t>tive Group, Scottish Government and</w:t>
      </w:r>
      <w:r w:rsidRPr="00714DD3">
        <w:rPr>
          <w:rFonts w:ascii="Arial" w:hAnsi="Arial" w:cs="Arial"/>
          <w:noProof/>
          <w:sz w:val="22"/>
          <w:szCs w:val="22"/>
          <w:lang w:eastAsia="en-GB"/>
        </w:rPr>
        <w:t xml:space="preserve"> Health and Social Care Partners</w:t>
      </w:r>
      <w:r w:rsidR="00714DD3" w:rsidRPr="00714DD3">
        <w:rPr>
          <w:rFonts w:ascii="Arial" w:hAnsi="Arial" w:cs="Arial"/>
          <w:noProof/>
          <w:sz w:val="22"/>
          <w:szCs w:val="22"/>
          <w:lang w:eastAsia="en-GB"/>
        </w:rPr>
        <w:t>hip discr</w:t>
      </w:r>
      <w:r w:rsidRPr="00714DD3">
        <w:rPr>
          <w:rFonts w:ascii="Arial" w:hAnsi="Arial" w:cs="Arial"/>
          <w:noProof/>
          <w:sz w:val="22"/>
          <w:szCs w:val="22"/>
          <w:lang w:eastAsia="en-GB"/>
        </w:rPr>
        <w:t>et</w:t>
      </w:r>
      <w:r w:rsidR="00714DD3" w:rsidRPr="00714DD3">
        <w:rPr>
          <w:rFonts w:ascii="Arial" w:hAnsi="Arial" w:cs="Arial"/>
          <w:noProof/>
          <w:sz w:val="22"/>
          <w:szCs w:val="22"/>
          <w:lang w:eastAsia="en-GB"/>
        </w:rPr>
        <w:t>e</w:t>
      </w:r>
      <w:r w:rsidRPr="00714DD3">
        <w:rPr>
          <w:rFonts w:ascii="Arial" w:hAnsi="Arial" w:cs="Arial"/>
          <w:noProof/>
          <w:sz w:val="22"/>
          <w:szCs w:val="22"/>
          <w:lang w:eastAsia="en-GB"/>
        </w:rPr>
        <w:t>ly</w:t>
      </w:r>
      <w:r w:rsidR="00714DD3" w:rsidRPr="00714DD3">
        <w:rPr>
          <w:rFonts w:ascii="Arial" w:hAnsi="Arial" w:cs="Arial"/>
          <w:noProof/>
          <w:sz w:val="22"/>
          <w:szCs w:val="22"/>
          <w:lang w:eastAsia="en-GB"/>
        </w:rPr>
        <w:t xml:space="preserve"> also going forward.</w:t>
      </w:r>
    </w:p>
    <w:p w:rsidR="00BF71D8" w:rsidRPr="00714DD3" w:rsidRDefault="00BF71D8" w:rsidP="00AF3B99">
      <w:pPr>
        <w:ind w:left="360"/>
        <w:jc w:val="both"/>
        <w:rPr>
          <w:rFonts w:ascii="Arial" w:hAnsi="Arial" w:cs="Arial"/>
          <w:noProof/>
          <w:sz w:val="22"/>
          <w:szCs w:val="22"/>
          <w:lang w:eastAsia="en-GB"/>
        </w:rPr>
      </w:pPr>
    </w:p>
    <w:p w:rsidR="00A56F01" w:rsidRPr="00714DD3" w:rsidRDefault="002127D5" w:rsidP="00AF3B99">
      <w:pPr>
        <w:ind w:left="360"/>
        <w:jc w:val="both"/>
        <w:rPr>
          <w:rFonts w:ascii="Arial" w:hAnsi="Arial" w:cs="Arial"/>
          <w:noProof/>
          <w:sz w:val="22"/>
          <w:szCs w:val="22"/>
          <w:lang w:eastAsia="en-GB"/>
        </w:rPr>
      </w:pPr>
      <w:r w:rsidRPr="00714DD3">
        <w:rPr>
          <w:rFonts w:ascii="Arial" w:hAnsi="Arial" w:cs="Arial"/>
          <w:noProof/>
          <w:sz w:val="22"/>
          <w:szCs w:val="22"/>
          <w:lang w:eastAsia="en-GB"/>
        </w:rPr>
        <w:t>A summary of commitments made by the PCIP</w:t>
      </w:r>
      <w:r w:rsidR="00714DD3" w:rsidRPr="00714DD3">
        <w:rPr>
          <w:rFonts w:ascii="Arial" w:hAnsi="Arial" w:cs="Arial"/>
          <w:noProof/>
          <w:sz w:val="22"/>
          <w:szCs w:val="22"/>
          <w:lang w:eastAsia="en-GB"/>
        </w:rPr>
        <w:t xml:space="preserve"> Executive Group against the non-recurring allocation is summarised below:</w:t>
      </w:r>
    </w:p>
    <w:p w:rsidR="00F004E2" w:rsidRPr="00AE7D71" w:rsidRDefault="00F004E2" w:rsidP="00AF3B99">
      <w:pPr>
        <w:ind w:left="360"/>
        <w:jc w:val="both"/>
        <w:rPr>
          <w:rFonts w:ascii="Arial" w:hAnsi="Arial" w:cs="Arial"/>
          <w:noProof/>
          <w:sz w:val="22"/>
          <w:szCs w:val="22"/>
          <w:highlight w:val="yellow"/>
          <w:lang w:eastAsia="en-GB"/>
        </w:rPr>
      </w:pPr>
    </w:p>
    <w:tbl>
      <w:tblPr>
        <w:tblW w:w="7220" w:type="dxa"/>
        <w:jc w:val="center"/>
        <w:tblInd w:w="96" w:type="dxa"/>
        <w:tblLook w:val="04A0"/>
      </w:tblPr>
      <w:tblGrid>
        <w:gridCol w:w="3000"/>
        <w:gridCol w:w="1940"/>
        <w:gridCol w:w="278"/>
        <w:gridCol w:w="2080"/>
      </w:tblGrid>
      <w:tr w:rsidR="002A11D4" w:rsidRPr="002A11D4" w:rsidTr="002A11D4">
        <w:trPr>
          <w:trHeight w:val="372"/>
          <w:jc w:val="center"/>
        </w:trPr>
        <w:tc>
          <w:tcPr>
            <w:tcW w:w="30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c>
          <w:tcPr>
            <w:tcW w:w="1940" w:type="dxa"/>
            <w:tcBorders>
              <w:top w:val="single" w:sz="4" w:space="0" w:color="auto"/>
              <w:left w:val="single" w:sz="4" w:space="0" w:color="auto"/>
              <w:bottom w:val="nil"/>
              <w:right w:val="single" w:sz="4" w:space="0" w:color="auto"/>
            </w:tcBorders>
            <w:shd w:val="clear" w:color="000000" w:fill="FFFFFF"/>
            <w:noWrap/>
            <w:vAlign w:val="bottom"/>
            <w:hideMark/>
          </w:tcPr>
          <w:p w:rsidR="002A11D4" w:rsidRPr="002A11D4" w:rsidRDefault="002A11D4" w:rsidP="002A11D4">
            <w:pPr>
              <w:jc w:val="center"/>
              <w:rPr>
                <w:rFonts w:ascii="Arial" w:hAnsi="Arial" w:cs="Arial"/>
                <w:b/>
                <w:bCs/>
                <w:color w:val="000000"/>
                <w:sz w:val="21"/>
                <w:szCs w:val="21"/>
                <w:lang w:eastAsia="en-GB"/>
              </w:rPr>
            </w:pPr>
            <w:r w:rsidRPr="002A11D4">
              <w:rPr>
                <w:rFonts w:ascii="Arial" w:hAnsi="Arial" w:cs="Arial"/>
                <w:b/>
                <w:bCs/>
                <w:color w:val="000000"/>
                <w:sz w:val="21"/>
                <w:szCs w:val="21"/>
                <w:lang w:eastAsia="en-GB"/>
              </w:rPr>
              <w:t> </w:t>
            </w:r>
          </w:p>
        </w:tc>
        <w:tc>
          <w:tcPr>
            <w:tcW w:w="2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c>
          <w:tcPr>
            <w:tcW w:w="208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r>
      <w:tr w:rsidR="002A11D4" w:rsidRPr="002A11D4" w:rsidTr="002A11D4">
        <w:trPr>
          <w:trHeight w:val="372"/>
          <w:jc w:val="center"/>
        </w:trPr>
        <w:tc>
          <w:tcPr>
            <w:tcW w:w="30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c>
          <w:tcPr>
            <w:tcW w:w="1940" w:type="dxa"/>
            <w:tcBorders>
              <w:top w:val="nil"/>
              <w:left w:val="single" w:sz="4" w:space="0" w:color="auto"/>
              <w:bottom w:val="nil"/>
              <w:right w:val="single" w:sz="4" w:space="0" w:color="auto"/>
            </w:tcBorders>
            <w:shd w:val="clear" w:color="000000" w:fill="FFFFFF"/>
            <w:noWrap/>
            <w:vAlign w:val="bottom"/>
            <w:hideMark/>
          </w:tcPr>
          <w:p w:rsidR="002A11D4" w:rsidRPr="002A11D4" w:rsidRDefault="002A11D4" w:rsidP="002A11D4">
            <w:pPr>
              <w:jc w:val="center"/>
              <w:rPr>
                <w:rFonts w:ascii="Arial" w:hAnsi="Arial" w:cs="Arial"/>
                <w:b/>
                <w:bCs/>
                <w:color w:val="000000"/>
                <w:sz w:val="21"/>
                <w:szCs w:val="21"/>
                <w:lang w:eastAsia="en-GB"/>
              </w:rPr>
            </w:pPr>
            <w:r w:rsidRPr="002A11D4">
              <w:rPr>
                <w:rFonts w:ascii="Arial" w:hAnsi="Arial" w:cs="Arial"/>
                <w:b/>
                <w:bCs/>
                <w:color w:val="000000"/>
                <w:sz w:val="21"/>
                <w:szCs w:val="21"/>
                <w:lang w:eastAsia="en-GB"/>
              </w:rPr>
              <w:t>Resource</w:t>
            </w:r>
          </w:p>
        </w:tc>
        <w:tc>
          <w:tcPr>
            <w:tcW w:w="2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c>
          <w:tcPr>
            <w:tcW w:w="208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r>
      <w:tr w:rsidR="002A11D4" w:rsidRPr="002A11D4" w:rsidTr="002A11D4">
        <w:trPr>
          <w:trHeight w:val="372"/>
          <w:jc w:val="center"/>
        </w:trPr>
        <w:tc>
          <w:tcPr>
            <w:tcW w:w="30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c>
          <w:tcPr>
            <w:tcW w:w="1940" w:type="dxa"/>
            <w:tcBorders>
              <w:top w:val="nil"/>
              <w:left w:val="single" w:sz="4" w:space="0" w:color="auto"/>
              <w:bottom w:val="nil"/>
              <w:right w:val="single" w:sz="4" w:space="0" w:color="auto"/>
            </w:tcBorders>
            <w:shd w:val="clear" w:color="000000" w:fill="FFFFFF"/>
            <w:noWrap/>
            <w:vAlign w:val="bottom"/>
            <w:hideMark/>
          </w:tcPr>
          <w:p w:rsidR="002A11D4" w:rsidRPr="002A11D4" w:rsidRDefault="002A11D4" w:rsidP="002A11D4">
            <w:pPr>
              <w:jc w:val="center"/>
              <w:rPr>
                <w:rFonts w:ascii="Arial" w:hAnsi="Arial" w:cs="Arial"/>
                <w:b/>
                <w:bCs/>
                <w:color w:val="000000"/>
                <w:sz w:val="21"/>
                <w:szCs w:val="21"/>
                <w:lang w:eastAsia="en-GB"/>
              </w:rPr>
            </w:pPr>
            <w:r w:rsidRPr="002A11D4">
              <w:rPr>
                <w:rFonts w:ascii="Arial" w:hAnsi="Arial" w:cs="Arial"/>
                <w:b/>
                <w:bCs/>
                <w:color w:val="000000"/>
                <w:sz w:val="21"/>
                <w:szCs w:val="21"/>
                <w:lang w:eastAsia="en-GB"/>
              </w:rPr>
              <w:t>Directed</w:t>
            </w:r>
          </w:p>
        </w:tc>
        <w:tc>
          <w:tcPr>
            <w:tcW w:w="2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c>
          <w:tcPr>
            <w:tcW w:w="208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r>
      <w:tr w:rsidR="002A11D4" w:rsidRPr="002A11D4" w:rsidTr="002A11D4">
        <w:trPr>
          <w:trHeight w:val="372"/>
          <w:jc w:val="center"/>
        </w:trPr>
        <w:tc>
          <w:tcPr>
            <w:tcW w:w="30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b/>
                <w:bCs/>
                <w:color w:val="000000"/>
                <w:lang w:eastAsia="en-GB"/>
              </w:rPr>
            </w:pPr>
            <w:r w:rsidRPr="002A11D4">
              <w:rPr>
                <w:rFonts w:ascii="Arial" w:hAnsi="Arial" w:cs="Arial"/>
                <w:b/>
                <w:bCs/>
                <w:color w:val="000000"/>
                <w:sz w:val="22"/>
                <w:szCs w:val="22"/>
                <w:lang w:eastAsia="en-GB"/>
              </w:rPr>
              <w:t>Commitments</w:t>
            </w:r>
          </w:p>
        </w:tc>
        <w:tc>
          <w:tcPr>
            <w:tcW w:w="1940" w:type="dxa"/>
            <w:tcBorders>
              <w:top w:val="nil"/>
              <w:left w:val="single" w:sz="4" w:space="0" w:color="auto"/>
              <w:bottom w:val="nil"/>
              <w:right w:val="single" w:sz="4" w:space="0" w:color="auto"/>
            </w:tcBorders>
            <w:shd w:val="clear" w:color="000000" w:fill="FFFFFF"/>
            <w:noWrap/>
            <w:vAlign w:val="bottom"/>
            <w:hideMark/>
          </w:tcPr>
          <w:p w:rsidR="002A11D4" w:rsidRPr="002A11D4" w:rsidRDefault="002A11D4" w:rsidP="002A11D4">
            <w:pPr>
              <w:jc w:val="center"/>
              <w:rPr>
                <w:rFonts w:ascii="Arial" w:hAnsi="Arial" w:cs="Arial"/>
                <w:b/>
                <w:bCs/>
                <w:color w:val="000000"/>
                <w:sz w:val="21"/>
                <w:szCs w:val="21"/>
                <w:lang w:eastAsia="en-GB"/>
              </w:rPr>
            </w:pPr>
            <w:r w:rsidRPr="002A11D4">
              <w:rPr>
                <w:rFonts w:ascii="Arial" w:hAnsi="Arial" w:cs="Arial"/>
                <w:b/>
                <w:bCs/>
                <w:color w:val="000000"/>
                <w:sz w:val="21"/>
                <w:szCs w:val="21"/>
                <w:lang w:eastAsia="en-GB"/>
              </w:rPr>
              <w:t>£</w:t>
            </w:r>
          </w:p>
        </w:tc>
        <w:tc>
          <w:tcPr>
            <w:tcW w:w="2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c>
          <w:tcPr>
            <w:tcW w:w="208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r>
      <w:tr w:rsidR="002A11D4" w:rsidRPr="002A11D4" w:rsidTr="002A11D4">
        <w:trPr>
          <w:trHeight w:val="372"/>
          <w:jc w:val="center"/>
        </w:trPr>
        <w:tc>
          <w:tcPr>
            <w:tcW w:w="30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ANP Training</w:t>
            </w:r>
          </w:p>
        </w:tc>
        <w:tc>
          <w:tcPr>
            <w:tcW w:w="1940" w:type="dxa"/>
            <w:tcBorders>
              <w:top w:val="nil"/>
              <w:left w:val="single" w:sz="4" w:space="0" w:color="auto"/>
              <w:bottom w:val="nil"/>
              <w:right w:val="single" w:sz="4" w:space="0" w:color="auto"/>
            </w:tcBorders>
            <w:shd w:val="clear" w:color="000000" w:fill="FFFFFF"/>
            <w:noWrap/>
            <w:vAlign w:val="bottom"/>
            <w:hideMark/>
          </w:tcPr>
          <w:p w:rsidR="002A11D4" w:rsidRPr="002A11D4" w:rsidRDefault="002A11D4" w:rsidP="002A11D4">
            <w:pPr>
              <w:jc w:val="right"/>
              <w:rPr>
                <w:rFonts w:ascii="Arial" w:hAnsi="Arial" w:cs="Arial"/>
                <w:color w:val="000000"/>
                <w:lang w:eastAsia="en-GB"/>
              </w:rPr>
            </w:pPr>
            <w:r w:rsidRPr="002A11D4">
              <w:rPr>
                <w:rFonts w:ascii="Arial" w:hAnsi="Arial" w:cs="Arial"/>
                <w:color w:val="000000"/>
                <w:sz w:val="22"/>
                <w:szCs w:val="22"/>
                <w:lang w:eastAsia="en-GB"/>
              </w:rPr>
              <w:t>81,750</w:t>
            </w:r>
          </w:p>
        </w:tc>
        <w:tc>
          <w:tcPr>
            <w:tcW w:w="2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c>
          <w:tcPr>
            <w:tcW w:w="208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r>
      <w:tr w:rsidR="002A11D4" w:rsidRPr="002A11D4" w:rsidTr="002A11D4">
        <w:trPr>
          <w:trHeight w:val="372"/>
          <w:jc w:val="center"/>
        </w:trPr>
        <w:tc>
          <w:tcPr>
            <w:tcW w:w="30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CTCS Programme Manager</w:t>
            </w:r>
          </w:p>
        </w:tc>
        <w:tc>
          <w:tcPr>
            <w:tcW w:w="1940" w:type="dxa"/>
            <w:tcBorders>
              <w:top w:val="nil"/>
              <w:left w:val="single" w:sz="4" w:space="0" w:color="auto"/>
              <w:bottom w:val="nil"/>
              <w:right w:val="single" w:sz="4" w:space="0" w:color="auto"/>
            </w:tcBorders>
            <w:shd w:val="clear" w:color="000000" w:fill="FFFFFF"/>
            <w:noWrap/>
            <w:vAlign w:val="bottom"/>
            <w:hideMark/>
          </w:tcPr>
          <w:p w:rsidR="002A11D4" w:rsidRPr="002A11D4" w:rsidRDefault="002A11D4" w:rsidP="002A11D4">
            <w:pPr>
              <w:jc w:val="right"/>
              <w:rPr>
                <w:rFonts w:ascii="Arial" w:hAnsi="Arial" w:cs="Arial"/>
                <w:color w:val="000000"/>
                <w:lang w:eastAsia="en-GB"/>
              </w:rPr>
            </w:pPr>
            <w:r w:rsidRPr="002A11D4">
              <w:rPr>
                <w:rFonts w:ascii="Arial" w:hAnsi="Arial" w:cs="Arial"/>
                <w:color w:val="000000"/>
                <w:sz w:val="22"/>
                <w:szCs w:val="22"/>
                <w:lang w:eastAsia="en-GB"/>
              </w:rPr>
              <w:t>53,894</w:t>
            </w:r>
          </w:p>
        </w:tc>
        <w:tc>
          <w:tcPr>
            <w:tcW w:w="2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c>
          <w:tcPr>
            <w:tcW w:w="208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1.0 WTE / Band 7</w:t>
            </w:r>
          </w:p>
        </w:tc>
      </w:tr>
      <w:tr w:rsidR="002A11D4" w:rsidRPr="002A11D4" w:rsidTr="002A11D4">
        <w:trPr>
          <w:trHeight w:val="372"/>
          <w:jc w:val="center"/>
        </w:trPr>
        <w:tc>
          <w:tcPr>
            <w:tcW w:w="30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CTCS Admin Support</w:t>
            </w:r>
          </w:p>
        </w:tc>
        <w:tc>
          <w:tcPr>
            <w:tcW w:w="1940" w:type="dxa"/>
            <w:tcBorders>
              <w:top w:val="nil"/>
              <w:left w:val="single" w:sz="4" w:space="0" w:color="auto"/>
              <w:bottom w:val="nil"/>
              <w:right w:val="single" w:sz="4" w:space="0" w:color="auto"/>
            </w:tcBorders>
            <w:shd w:val="clear" w:color="000000" w:fill="FFFFFF"/>
            <w:noWrap/>
            <w:vAlign w:val="bottom"/>
            <w:hideMark/>
          </w:tcPr>
          <w:p w:rsidR="002A11D4" w:rsidRPr="002A11D4" w:rsidRDefault="002A11D4" w:rsidP="002A11D4">
            <w:pPr>
              <w:jc w:val="right"/>
              <w:rPr>
                <w:rFonts w:ascii="Arial" w:hAnsi="Arial" w:cs="Arial"/>
                <w:color w:val="000000"/>
                <w:lang w:eastAsia="en-GB"/>
              </w:rPr>
            </w:pPr>
            <w:r w:rsidRPr="002A11D4">
              <w:rPr>
                <w:rFonts w:ascii="Arial" w:hAnsi="Arial" w:cs="Arial"/>
                <w:color w:val="000000"/>
                <w:sz w:val="22"/>
                <w:szCs w:val="22"/>
                <w:lang w:eastAsia="en-GB"/>
              </w:rPr>
              <w:t>15,000</w:t>
            </w:r>
          </w:p>
        </w:tc>
        <w:tc>
          <w:tcPr>
            <w:tcW w:w="2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c>
          <w:tcPr>
            <w:tcW w:w="208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0.5 WTE / Band 3</w:t>
            </w:r>
          </w:p>
        </w:tc>
      </w:tr>
      <w:tr w:rsidR="002A11D4" w:rsidRPr="002A11D4" w:rsidTr="002A11D4">
        <w:trPr>
          <w:trHeight w:val="372"/>
          <w:jc w:val="center"/>
        </w:trPr>
        <w:tc>
          <w:tcPr>
            <w:tcW w:w="30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PCIP Project Manager</w:t>
            </w:r>
          </w:p>
        </w:tc>
        <w:tc>
          <w:tcPr>
            <w:tcW w:w="1940" w:type="dxa"/>
            <w:tcBorders>
              <w:top w:val="nil"/>
              <w:left w:val="single" w:sz="4" w:space="0" w:color="auto"/>
              <w:bottom w:val="nil"/>
              <w:right w:val="single" w:sz="4" w:space="0" w:color="auto"/>
            </w:tcBorders>
            <w:shd w:val="clear" w:color="000000" w:fill="FFFFFF"/>
            <w:noWrap/>
            <w:vAlign w:val="bottom"/>
            <w:hideMark/>
          </w:tcPr>
          <w:p w:rsidR="002A11D4" w:rsidRPr="002A11D4" w:rsidRDefault="002A11D4" w:rsidP="002A11D4">
            <w:pPr>
              <w:jc w:val="right"/>
              <w:rPr>
                <w:rFonts w:ascii="Arial" w:hAnsi="Arial" w:cs="Arial"/>
                <w:color w:val="000000"/>
                <w:lang w:eastAsia="en-GB"/>
              </w:rPr>
            </w:pPr>
            <w:r w:rsidRPr="002A11D4">
              <w:rPr>
                <w:rFonts w:ascii="Arial" w:hAnsi="Arial" w:cs="Arial"/>
                <w:color w:val="000000"/>
                <w:sz w:val="22"/>
                <w:szCs w:val="22"/>
                <w:lang w:eastAsia="en-GB"/>
              </w:rPr>
              <w:t>72,000</w:t>
            </w:r>
          </w:p>
        </w:tc>
        <w:tc>
          <w:tcPr>
            <w:tcW w:w="2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c>
          <w:tcPr>
            <w:tcW w:w="208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r>
      <w:tr w:rsidR="002A11D4" w:rsidRPr="002A11D4" w:rsidTr="002A11D4">
        <w:trPr>
          <w:trHeight w:val="372"/>
          <w:jc w:val="center"/>
        </w:trPr>
        <w:tc>
          <w:tcPr>
            <w:tcW w:w="30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PCIP Comms / Engagement</w:t>
            </w:r>
          </w:p>
        </w:tc>
        <w:tc>
          <w:tcPr>
            <w:tcW w:w="1940" w:type="dxa"/>
            <w:tcBorders>
              <w:top w:val="nil"/>
              <w:left w:val="single" w:sz="4" w:space="0" w:color="auto"/>
              <w:bottom w:val="nil"/>
              <w:right w:val="single" w:sz="4" w:space="0" w:color="auto"/>
            </w:tcBorders>
            <w:shd w:val="clear" w:color="000000" w:fill="FFFFFF"/>
            <w:noWrap/>
            <w:vAlign w:val="bottom"/>
            <w:hideMark/>
          </w:tcPr>
          <w:p w:rsidR="002A11D4" w:rsidRPr="002A11D4" w:rsidRDefault="002A11D4" w:rsidP="002A11D4">
            <w:pPr>
              <w:jc w:val="right"/>
              <w:rPr>
                <w:rFonts w:ascii="Arial" w:hAnsi="Arial" w:cs="Arial"/>
                <w:color w:val="000000"/>
                <w:lang w:eastAsia="en-GB"/>
              </w:rPr>
            </w:pPr>
            <w:r w:rsidRPr="002A11D4">
              <w:rPr>
                <w:rFonts w:ascii="Arial" w:hAnsi="Arial" w:cs="Arial"/>
                <w:color w:val="000000"/>
                <w:sz w:val="22"/>
                <w:szCs w:val="22"/>
                <w:lang w:eastAsia="en-GB"/>
              </w:rPr>
              <w:t>25,000</w:t>
            </w:r>
          </w:p>
        </w:tc>
        <w:tc>
          <w:tcPr>
            <w:tcW w:w="2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c>
          <w:tcPr>
            <w:tcW w:w="208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r>
      <w:tr w:rsidR="002A11D4" w:rsidRPr="002A11D4" w:rsidTr="002A11D4">
        <w:trPr>
          <w:trHeight w:val="372"/>
          <w:jc w:val="center"/>
        </w:trPr>
        <w:tc>
          <w:tcPr>
            <w:tcW w:w="30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b/>
                <w:bCs/>
                <w:color w:val="000000"/>
                <w:lang w:eastAsia="en-GB"/>
              </w:rPr>
            </w:pPr>
            <w:r w:rsidRPr="002A11D4">
              <w:rPr>
                <w:rFonts w:ascii="Arial" w:hAnsi="Arial" w:cs="Arial"/>
                <w:b/>
                <w:bCs/>
                <w:color w:val="000000"/>
                <w:sz w:val="22"/>
                <w:szCs w:val="22"/>
                <w:lang w:eastAsia="en-GB"/>
              </w:rPr>
              <w:t>Total Commitments</w:t>
            </w:r>
          </w:p>
        </w:tc>
        <w:tc>
          <w:tcPr>
            <w:tcW w:w="194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2A11D4" w:rsidRPr="002A11D4" w:rsidRDefault="002A11D4" w:rsidP="002A11D4">
            <w:pPr>
              <w:jc w:val="right"/>
              <w:rPr>
                <w:rFonts w:ascii="Arial" w:hAnsi="Arial" w:cs="Arial"/>
                <w:b/>
                <w:bCs/>
                <w:color w:val="000000"/>
                <w:lang w:eastAsia="en-GB"/>
              </w:rPr>
            </w:pPr>
            <w:r w:rsidRPr="002A11D4">
              <w:rPr>
                <w:rFonts w:ascii="Arial" w:hAnsi="Arial" w:cs="Arial"/>
                <w:b/>
                <w:bCs/>
                <w:color w:val="000000"/>
                <w:sz w:val="22"/>
                <w:szCs w:val="22"/>
                <w:lang w:eastAsia="en-GB"/>
              </w:rPr>
              <w:t>247,644</w:t>
            </w:r>
          </w:p>
        </w:tc>
        <w:tc>
          <w:tcPr>
            <w:tcW w:w="2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c>
          <w:tcPr>
            <w:tcW w:w="208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r>
      <w:tr w:rsidR="002A11D4" w:rsidRPr="002A11D4" w:rsidTr="002A11D4">
        <w:trPr>
          <w:trHeight w:val="372"/>
          <w:jc w:val="center"/>
        </w:trPr>
        <w:tc>
          <w:tcPr>
            <w:tcW w:w="30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c>
          <w:tcPr>
            <w:tcW w:w="1940" w:type="dxa"/>
            <w:tcBorders>
              <w:top w:val="nil"/>
              <w:left w:val="single" w:sz="4" w:space="0" w:color="auto"/>
              <w:bottom w:val="nil"/>
              <w:right w:val="single" w:sz="4" w:space="0" w:color="auto"/>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c>
          <w:tcPr>
            <w:tcW w:w="2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c>
          <w:tcPr>
            <w:tcW w:w="208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r>
      <w:tr w:rsidR="002A11D4" w:rsidRPr="002A11D4" w:rsidTr="002A11D4">
        <w:trPr>
          <w:trHeight w:val="372"/>
          <w:jc w:val="center"/>
        </w:trPr>
        <w:tc>
          <w:tcPr>
            <w:tcW w:w="3000" w:type="dxa"/>
            <w:tcBorders>
              <w:top w:val="nil"/>
              <w:left w:val="nil"/>
              <w:bottom w:val="nil"/>
              <w:right w:val="nil"/>
            </w:tcBorders>
            <w:shd w:val="clear" w:color="000000" w:fill="FFFFFF"/>
            <w:hideMark/>
          </w:tcPr>
          <w:p w:rsidR="002A11D4" w:rsidRPr="002A11D4" w:rsidRDefault="002A11D4" w:rsidP="002A11D4">
            <w:pPr>
              <w:jc w:val="both"/>
              <w:rPr>
                <w:rFonts w:ascii="Arial" w:hAnsi="Arial" w:cs="Arial"/>
                <w:b/>
                <w:bCs/>
                <w:color w:val="000000"/>
                <w:sz w:val="21"/>
                <w:szCs w:val="21"/>
                <w:lang w:eastAsia="en-GB"/>
              </w:rPr>
            </w:pPr>
            <w:r w:rsidRPr="002A11D4">
              <w:rPr>
                <w:rFonts w:ascii="Arial" w:hAnsi="Arial" w:cs="Arial"/>
                <w:b/>
                <w:bCs/>
                <w:color w:val="000000"/>
                <w:sz w:val="21"/>
                <w:szCs w:val="21"/>
                <w:lang w:eastAsia="en-GB"/>
              </w:rPr>
              <w:t>Funded by:</w:t>
            </w:r>
          </w:p>
        </w:tc>
        <w:tc>
          <w:tcPr>
            <w:tcW w:w="1940" w:type="dxa"/>
            <w:tcBorders>
              <w:top w:val="nil"/>
              <w:left w:val="single" w:sz="4" w:space="0" w:color="auto"/>
              <w:bottom w:val="nil"/>
              <w:right w:val="single" w:sz="4" w:space="0" w:color="auto"/>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c>
          <w:tcPr>
            <w:tcW w:w="2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c>
          <w:tcPr>
            <w:tcW w:w="208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r>
      <w:tr w:rsidR="002A11D4" w:rsidRPr="002A11D4" w:rsidTr="002A11D4">
        <w:trPr>
          <w:trHeight w:val="372"/>
          <w:jc w:val="center"/>
        </w:trPr>
        <w:tc>
          <w:tcPr>
            <w:tcW w:w="3000" w:type="dxa"/>
            <w:tcBorders>
              <w:top w:val="nil"/>
              <w:left w:val="nil"/>
              <w:bottom w:val="nil"/>
              <w:right w:val="nil"/>
            </w:tcBorders>
            <w:shd w:val="clear" w:color="000000" w:fill="FFFFFF"/>
            <w:vAlign w:val="bottom"/>
            <w:hideMark/>
          </w:tcPr>
          <w:p w:rsidR="002A11D4" w:rsidRPr="002A11D4" w:rsidRDefault="002A11D4" w:rsidP="002A11D4">
            <w:pPr>
              <w:jc w:val="both"/>
              <w:rPr>
                <w:rFonts w:ascii="Arial" w:hAnsi="Arial" w:cs="Arial"/>
                <w:color w:val="000000"/>
                <w:sz w:val="21"/>
                <w:szCs w:val="21"/>
                <w:lang w:eastAsia="en-GB"/>
              </w:rPr>
            </w:pPr>
            <w:r w:rsidRPr="002A11D4">
              <w:rPr>
                <w:rFonts w:ascii="Arial" w:hAnsi="Arial" w:cs="Arial"/>
                <w:color w:val="000000"/>
                <w:sz w:val="21"/>
                <w:szCs w:val="21"/>
                <w:lang w:eastAsia="en-GB"/>
              </w:rPr>
              <w:t>Additional NR Allocation</w:t>
            </w:r>
          </w:p>
        </w:tc>
        <w:tc>
          <w:tcPr>
            <w:tcW w:w="1940" w:type="dxa"/>
            <w:tcBorders>
              <w:top w:val="nil"/>
              <w:left w:val="single" w:sz="4" w:space="0" w:color="auto"/>
              <w:bottom w:val="nil"/>
              <w:right w:val="single" w:sz="4" w:space="0" w:color="auto"/>
            </w:tcBorders>
            <w:shd w:val="clear" w:color="000000" w:fill="FFFFFF"/>
            <w:noWrap/>
            <w:vAlign w:val="bottom"/>
            <w:hideMark/>
          </w:tcPr>
          <w:p w:rsidR="002A11D4" w:rsidRPr="002A11D4" w:rsidRDefault="002A11D4" w:rsidP="002A11D4">
            <w:pPr>
              <w:jc w:val="right"/>
              <w:rPr>
                <w:rFonts w:ascii="Arial" w:hAnsi="Arial" w:cs="Arial"/>
                <w:color w:val="000000"/>
                <w:lang w:eastAsia="en-GB"/>
              </w:rPr>
            </w:pPr>
            <w:r w:rsidRPr="002A11D4">
              <w:rPr>
                <w:rFonts w:ascii="Arial" w:hAnsi="Arial" w:cs="Arial"/>
                <w:color w:val="000000"/>
                <w:sz w:val="22"/>
                <w:szCs w:val="22"/>
                <w:lang w:eastAsia="en-GB"/>
              </w:rPr>
              <w:t>1,096,943</w:t>
            </w:r>
          </w:p>
        </w:tc>
        <w:tc>
          <w:tcPr>
            <w:tcW w:w="2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c>
          <w:tcPr>
            <w:tcW w:w="208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r>
      <w:tr w:rsidR="002A11D4" w:rsidRPr="002A11D4" w:rsidTr="002A11D4">
        <w:trPr>
          <w:trHeight w:val="372"/>
          <w:jc w:val="center"/>
        </w:trPr>
        <w:tc>
          <w:tcPr>
            <w:tcW w:w="3000" w:type="dxa"/>
            <w:tcBorders>
              <w:top w:val="nil"/>
              <w:left w:val="nil"/>
              <w:bottom w:val="nil"/>
              <w:right w:val="nil"/>
            </w:tcBorders>
            <w:shd w:val="clear" w:color="000000" w:fill="FFFFFF"/>
            <w:vAlign w:val="bottom"/>
            <w:hideMark/>
          </w:tcPr>
          <w:p w:rsidR="002A11D4" w:rsidRPr="002A11D4" w:rsidRDefault="002A11D4" w:rsidP="002A11D4">
            <w:pPr>
              <w:jc w:val="both"/>
              <w:rPr>
                <w:rFonts w:ascii="Arial" w:hAnsi="Arial" w:cs="Arial"/>
                <w:color w:val="000000"/>
                <w:sz w:val="21"/>
                <w:szCs w:val="21"/>
                <w:lang w:eastAsia="en-GB"/>
              </w:rPr>
            </w:pPr>
            <w:r w:rsidRPr="002A11D4">
              <w:rPr>
                <w:rFonts w:ascii="Arial" w:hAnsi="Arial" w:cs="Arial"/>
                <w:color w:val="000000"/>
                <w:sz w:val="21"/>
                <w:szCs w:val="21"/>
                <w:lang w:eastAsia="en-GB"/>
              </w:rPr>
              <w:t>Non-Recurring Carry Fwd</w:t>
            </w:r>
          </w:p>
        </w:tc>
        <w:tc>
          <w:tcPr>
            <w:tcW w:w="1940" w:type="dxa"/>
            <w:tcBorders>
              <w:top w:val="nil"/>
              <w:left w:val="single" w:sz="4" w:space="0" w:color="auto"/>
              <w:bottom w:val="nil"/>
              <w:right w:val="single" w:sz="4" w:space="0" w:color="auto"/>
            </w:tcBorders>
            <w:shd w:val="clear" w:color="000000" w:fill="FFFFFF"/>
            <w:noWrap/>
            <w:vAlign w:val="bottom"/>
            <w:hideMark/>
          </w:tcPr>
          <w:p w:rsidR="002A11D4" w:rsidRPr="002A11D4" w:rsidRDefault="002A11D4" w:rsidP="002A11D4">
            <w:pPr>
              <w:jc w:val="right"/>
              <w:rPr>
                <w:rFonts w:ascii="Arial" w:hAnsi="Arial" w:cs="Arial"/>
                <w:color w:val="000000"/>
                <w:lang w:eastAsia="en-GB"/>
              </w:rPr>
            </w:pPr>
            <w:r w:rsidRPr="002A11D4">
              <w:rPr>
                <w:rFonts w:ascii="Arial" w:hAnsi="Arial" w:cs="Arial"/>
                <w:color w:val="000000"/>
                <w:sz w:val="22"/>
                <w:szCs w:val="22"/>
                <w:lang w:eastAsia="en-GB"/>
              </w:rPr>
              <w:t>172,089</w:t>
            </w:r>
          </w:p>
        </w:tc>
        <w:tc>
          <w:tcPr>
            <w:tcW w:w="2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c>
          <w:tcPr>
            <w:tcW w:w="208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r>
      <w:tr w:rsidR="002A11D4" w:rsidRPr="002A11D4" w:rsidTr="002A11D4">
        <w:trPr>
          <w:trHeight w:val="372"/>
          <w:jc w:val="center"/>
        </w:trPr>
        <w:tc>
          <w:tcPr>
            <w:tcW w:w="3000" w:type="dxa"/>
            <w:tcBorders>
              <w:top w:val="nil"/>
              <w:left w:val="nil"/>
              <w:bottom w:val="nil"/>
              <w:right w:val="nil"/>
            </w:tcBorders>
            <w:shd w:val="clear" w:color="000000" w:fill="FFFFFF"/>
            <w:vAlign w:val="bottom"/>
            <w:hideMark/>
          </w:tcPr>
          <w:p w:rsidR="002A11D4" w:rsidRPr="002A11D4" w:rsidRDefault="002A11D4" w:rsidP="002A11D4">
            <w:pPr>
              <w:jc w:val="both"/>
              <w:rPr>
                <w:rFonts w:ascii="Arial" w:hAnsi="Arial" w:cs="Arial"/>
                <w:b/>
                <w:bCs/>
                <w:color w:val="000000"/>
                <w:sz w:val="21"/>
                <w:szCs w:val="21"/>
                <w:lang w:eastAsia="en-GB"/>
              </w:rPr>
            </w:pPr>
            <w:r w:rsidRPr="002A11D4">
              <w:rPr>
                <w:rFonts w:ascii="Arial" w:hAnsi="Arial" w:cs="Arial"/>
                <w:b/>
                <w:bCs/>
                <w:color w:val="000000"/>
                <w:sz w:val="21"/>
                <w:szCs w:val="21"/>
                <w:lang w:eastAsia="en-GB"/>
              </w:rPr>
              <w:t>Total Funding</w:t>
            </w:r>
          </w:p>
        </w:tc>
        <w:tc>
          <w:tcPr>
            <w:tcW w:w="194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2A11D4" w:rsidRPr="002A11D4" w:rsidRDefault="002A11D4" w:rsidP="002A11D4">
            <w:pPr>
              <w:jc w:val="right"/>
              <w:rPr>
                <w:rFonts w:ascii="Arial" w:hAnsi="Arial" w:cs="Arial"/>
                <w:b/>
                <w:bCs/>
                <w:color w:val="000000"/>
                <w:sz w:val="21"/>
                <w:szCs w:val="21"/>
                <w:lang w:eastAsia="en-GB"/>
              </w:rPr>
            </w:pPr>
            <w:r w:rsidRPr="002A11D4">
              <w:rPr>
                <w:rFonts w:ascii="Arial" w:hAnsi="Arial" w:cs="Arial"/>
                <w:b/>
                <w:bCs/>
                <w:color w:val="000000"/>
                <w:sz w:val="21"/>
                <w:szCs w:val="21"/>
                <w:lang w:eastAsia="en-GB"/>
              </w:rPr>
              <w:t>1,269,032</w:t>
            </w:r>
          </w:p>
        </w:tc>
        <w:tc>
          <w:tcPr>
            <w:tcW w:w="2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c>
          <w:tcPr>
            <w:tcW w:w="208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r>
      <w:tr w:rsidR="002A11D4" w:rsidRPr="002A11D4" w:rsidTr="002A11D4">
        <w:trPr>
          <w:trHeight w:val="372"/>
          <w:jc w:val="center"/>
        </w:trPr>
        <w:tc>
          <w:tcPr>
            <w:tcW w:w="3000" w:type="dxa"/>
            <w:tcBorders>
              <w:top w:val="nil"/>
              <w:left w:val="nil"/>
              <w:bottom w:val="nil"/>
              <w:right w:val="nil"/>
            </w:tcBorders>
            <w:shd w:val="clear" w:color="000000" w:fill="FFFFFF"/>
            <w:hideMark/>
          </w:tcPr>
          <w:p w:rsidR="002A11D4" w:rsidRPr="002A11D4" w:rsidRDefault="002A11D4" w:rsidP="002A11D4">
            <w:pPr>
              <w:jc w:val="both"/>
              <w:rPr>
                <w:rFonts w:ascii="Arial" w:hAnsi="Arial" w:cs="Arial"/>
                <w:b/>
                <w:bCs/>
                <w:color w:val="000000"/>
                <w:sz w:val="21"/>
                <w:szCs w:val="21"/>
                <w:lang w:eastAsia="en-GB"/>
              </w:rPr>
            </w:pPr>
            <w:r w:rsidRPr="002A11D4">
              <w:rPr>
                <w:rFonts w:ascii="Arial" w:hAnsi="Arial" w:cs="Arial"/>
                <w:b/>
                <w:bCs/>
                <w:color w:val="000000"/>
                <w:sz w:val="21"/>
                <w:szCs w:val="21"/>
                <w:lang w:eastAsia="en-GB"/>
              </w:rPr>
              <w:t> </w:t>
            </w:r>
          </w:p>
        </w:tc>
        <w:tc>
          <w:tcPr>
            <w:tcW w:w="1940" w:type="dxa"/>
            <w:tcBorders>
              <w:top w:val="nil"/>
              <w:left w:val="single" w:sz="4" w:space="0" w:color="auto"/>
              <w:bottom w:val="nil"/>
              <w:right w:val="single" w:sz="4" w:space="0" w:color="auto"/>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c>
          <w:tcPr>
            <w:tcW w:w="2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c>
          <w:tcPr>
            <w:tcW w:w="208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r>
      <w:tr w:rsidR="002A11D4" w:rsidRPr="002A11D4" w:rsidTr="002A11D4">
        <w:trPr>
          <w:trHeight w:val="372"/>
          <w:jc w:val="center"/>
        </w:trPr>
        <w:tc>
          <w:tcPr>
            <w:tcW w:w="3000" w:type="dxa"/>
            <w:tcBorders>
              <w:top w:val="nil"/>
              <w:left w:val="nil"/>
              <w:bottom w:val="nil"/>
              <w:right w:val="nil"/>
            </w:tcBorders>
            <w:shd w:val="clear" w:color="000000" w:fill="FFFFFF"/>
            <w:hideMark/>
          </w:tcPr>
          <w:p w:rsidR="002A11D4" w:rsidRPr="002A11D4" w:rsidRDefault="002A11D4" w:rsidP="002A11D4">
            <w:pPr>
              <w:jc w:val="both"/>
              <w:rPr>
                <w:rFonts w:ascii="Arial" w:hAnsi="Arial" w:cs="Arial"/>
                <w:b/>
                <w:bCs/>
                <w:color w:val="000000"/>
                <w:sz w:val="21"/>
                <w:szCs w:val="21"/>
                <w:lang w:eastAsia="en-GB"/>
              </w:rPr>
            </w:pPr>
            <w:r w:rsidRPr="002A11D4">
              <w:rPr>
                <w:rFonts w:ascii="Arial" w:hAnsi="Arial" w:cs="Arial"/>
                <w:b/>
                <w:bCs/>
                <w:color w:val="000000"/>
                <w:sz w:val="21"/>
                <w:szCs w:val="21"/>
                <w:lang w:eastAsia="en-GB"/>
              </w:rPr>
              <w:t>Remaining for Direction</w:t>
            </w:r>
          </w:p>
        </w:tc>
        <w:tc>
          <w:tcPr>
            <w:tcW w:w="194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2A11D4" w:rsidRPr="002A11D4" w:rsidRDefault="002A11D4" w:rsidP="002A11D4">
            <w:pPr>
              <w:jc w:val="right"/>
              <w:rPr>
                <w:rFonts w:ascii="Arial" w:hAnsi="Arial" w:cs="Arial"/>
                <w:b/>
                <w:bCs/>
                <w:color w:val="000000"/>
                <w:lang w:eastAsia="en-GB"/>
              </w:rPr>
            </w:pPr>
            <w:r w:rsidRPr="002A11D4">
              <w:rPr>
                <w:rFonts w:ascii="Arial" w:hAnsi="Arial" w:cs="Arial"/>
                <w:b/>
                <w:bCs/>
                <w:color w:val="000000"/>
                <w:sz w:val="22"/>
                <w:szCs w:val="22"/>
                <w:lang w:eastAsia="en-GB"/>
              </w:rPr>
              <w:t>1,021,388</w:t>
            </w:r>
          </w:p>
        </w:tc>
        <w:tc>
          <w:tcPr>
            <w:tcW w:w="2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c>
          <w:tcPr>
            <w:tcW w:w="208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r>
      <w:tr w:rsidR="002A11D4" w:rsidRPr="002A11D4" w:rsidTr="002A11D4">
        <w:trPr>
          <w:trHeight w:val="372"/>
          <w:jc w:val="center"/>
        </w:trPr>
        <w:tc>
          <w:tcPr>
            <w:tcW w:w="30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c>
          <w:tcPr>
            <w:tcW w:w="1940" w:type="dxa"/>
            <w:tcBorders>
              <w:top w:val="nil"/>
              <w:left w:val="single" w:sz="4" w:space="0" w:color="auto"/>
              <w:bottom w:val="single" w:sz="4" w:space="0" w:color="auto"/>
              <w:right w:val="single" w:sz="4" w:space="0" w:color="auto"/>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c>
          <w:tcPr>
            <w:tcW w:w="20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c>
          <w:tcPr>
            <w:tcW w:w="2080" w:type="dxa"/>
            <w:tcBorders>
              <w:top w:val="nil"/>
              <w:left w:val="nil"/>
              <w:bottom w:val="nil"/>
              <w:right w:val="nil"/>
            </w:tcBorders>
            <w:shd w:val="clear" w:color="000000" w:fill="FFFFFF"/>
            <w:noWrap/>
            <w:vAlign w:val="bottom"/>
            <w:hideMark/>
          </w:tcPr>
          <w:p w:rsidR="002A11D4" w:rsidRPr="002A11D4" w:rsidRDefault="002A11D4" w:rsidP="002A11D4">
            <w:pPr>
              <w:rPr>
                <w:rFonts w:ascii="Arial" w:hAnsi="Arial" w:cs="Arial"/>
                <w:color w:val="000000"/>
                <w:lang w:eastAsia="en-GB"/>
              </w:rPr>
            </w:pPr>
            <w:r w:rsidRPr="002A11D4">
              <w:rPr>
                <w:rFonts w:ascii="Arial" w:hAnsi="Arial" w:cs="Arial"/>
                <w:color w:val="000000"/>
                <w:sz w:val="22"/>
                <w:szCs w:val="22"/>
                <w:lang w:eastAsia="en-GB"/>
              </w:rPr>
              <w:t> </w:t>
            </w:r>
          </w:p>
        </w:tc>
      </w:tr>
    </w:tbl>
    <w:p w:rsidR="00A56F01" w:rsidRPr="00AE7D71" w:rsidRDefault="00A56F01" w:rsidP="00AF3B99">
      <w:pPr>
        <w:jc w:val="center"/>
        <w:rPr>
          <w:rFonts w:ascii="Arial" w:hAnsi="Arial" w:cs="Arial"/>
          <w:noProof/>
          <w:sz w:val="22"/>
          <w:szCs w:val="22"/>
          <w:highlight w:val="yellow"/>
          <w:lang w:eastAsia="en-GB"/>
        </w:rPr>
      </w:pPr>
    </w:p>
    <w:p w:rsidR="00A56F01" w:rsidRDefault="00F8491F" w:rsidP="00AF3B99">
      <w:pPr>
        <w:jc w:val="both"/>
        <w:rPr>
          <w:rFonts w:ascii="Arial" w:hAnsi="Arial" w:cs="Arial"/>
          <w:noProof/>
          <w:sz w:val="22"/>
          <w:szCs w:val="22"/>
          <w:lang w:eastAsia="en-GB"/>
        </w:rPr>
      </w:pPr>
      <w:r w:rsidRPr="00D459B2">
        <w:rPr>
          <w:rFonts w:ascii="Arial" w:hAnsi="Arial" w:cs="Arial"/>
          <w:noProof/>
          <w:sz w:val="22"/>
          <w:szCs w:val="22"/>
          <w:lang w:eastAsia="en-GB"/>
        </w:rPr>
        <w:lastRenderedPageBreak/>
        <w:t xml:space="preserve">The funding does not have to be fully utilised in 2021-22 and can be spread over </w:t>
      </w:r>
      <w:r w:rsidR="004A4D75">
        <w:rPr>
          <w:rFonts w:ascii="Arial" w:hAnsi="Arial" w:cs="Arial"/>
          <w:noProof/>
          <w:sz w:val="22"/>
          <w:szCs w:val="22"/>
          <w:lang w:eastAsia="en-GB"/>
        </w:rPr>
        <w:t>more than one financial year</w:t>
      </w:r>
      <w:r w:rsidRPr="00D459B2">
        <w:rPr>
          <w:rFonts w:ascii="Arial" w:hAnsi="Arial" w:cs="Arial"/>
          <w:noProof/>
          <w:sz w:val="22"/>
          <w:szCs w:val="22"/>
          <w:lang w:eastAsia="en-GB"/>
        </w:rPr>
        <w:t xml:space="preserve"> </w:t>
      </w:r>
      <w:r w:rsidR="004A4D75">
        <w:rPr>
          <w:rFonts w:ascii="Arial" w:hAnsi="Arial" w:cs="Arial"/>
          <w:noProof/>
          <w:sz w:val="22"/>
          <w:szCs w:val="22"/>
          <w:lang w:eastAsia="en-GB"/>
        </w:rPr>
        <w:t xml:space="preserve">(such as is the case with the ANP Training agreed proposal) </w:t>
      </w:r>
      <w:r w:rsidRPr="00D459B2">
        <w:rPr>
          <w:rFonts w:ascii="Arial" w:hAnsi="Arial" w:cs="Arial"/>
          <w:noProof/>
          <w:sz w:val="22"/>
          <w:szCs w:val="22"/>
          <w:lang w:eastAsia="en-GB"/>
        </w:rPr>
        <w:t>if required</w:t>
      </w:r>
      <w:r w:rsidR="00DA62F6">
        <w:rPr>
          <w:rFonts w:ascii="Arial" w:hAnsi="Arial" w:cs="Arial"/>
          <w:noProof/>
          <w:sz w:val="22"/>
          <w:szCs w:val="22"/>
          <w:lang w:eastAsia="en-GB"/>
        </w:rPr>
        <w:t>,</w:t>
      </w:r>
      <w:r w:rsidRPr="00D459B2">
        <w:rPr>
          <w:rFonts w:ascii="Arial" w:hAnsi="Arial" w:cs="Arial"/>
          <w:noProof/>
          <w:sz w:val="22"/>
          <w:szCs w:val="22"/>
          <w:lang w:eastAsia="en-GB"/>
        </w:rPr>
        <w:t xml:space="preserve"> to support an</w:t>
      </w:r>
      <w:r w:rsidR="00DA62F6">
        <w:rPr>
          <w:rFonts w:ascii="Arial" w:hAnsi="Arial" w:cs="Arial"/>
          <w:noProof/>
          <w:sz w:val="22"/>
          <w:szCs w:val="22"/>
          <w:lang w:eastAsia="en-GB"/>
        </w:rPr>
        <w:t>y</w:t>
      </w:r>
      <w:r w:rsidRPr="00D459B2">
        <w:rPr>
          <w:rFonts w:ascii="Arial" w:hAnsi="Arial" w:cs="Arial"/>
          <w:noProof/>
          <w:sz w:val="22"/>
          <w:szCs w:val="22"/>
          <w:lang w:eastAsia="en-GB"/>
        </w:rPr>
        <w:t xml:space="preserve"> enabling scheme on a non recurring basis. An agreed programmed spending plan that recognises the requirement for fixed term agreements and if necessary exit strategies </w:t>
      </w:r>
      <w:r w:rsidR="00DA62F6">
        <w:rPr>
          <w:rFonts w:ascii="Arial" w:hAnsi="Arial" w:cs="Arial"/>
          <w:noProof/>
          <w:sz w:val="22"/>
          <w:szCs w:val="22"/>
          <w:lang w:eastAsia="en-GB"/>
        </w:rPr>
        <w:t>for any proposals requiring</w:t>
      </w:r>
      <w:r w:rsidRPr="00D459B2">
        <w:rPr>
          <w:rFonts w:ascii="Arial" w:hAnsi="Arial" w:cs="Arial"/>
          <w:noProof/>
          <w:sz w:val="22"/>
          <w:szCs w:val="22"/>
          <w:lang w:eastAsia="en-GB"/>
        </w:rPr>
        <w:t xml:space="preserve"> recurring support is </w:t>
      </w:r>
      <w:r w:rsidR="00DA62F6">
        <w:rPr>
          <w:rFonts w:ascii="Arial" w:hAnsi="Arial" w:cs="Arial"/>
          <w:noProof/>
          <w:sz w:val="22"/>
          <w:szCs w:val="22"/>
          <w:lang w:eastAsia="en-GB"/>
        </w:rPr>
        <w:t xml:space="preserve">now </w:t>
      </w:r>
      <w:r w:rsidRPr="00D459B2">
        <w:rPr>
          <w:rFonts w:ascii="Arial" w:hAnsi="Arial" w:cs="Arial"/>
          <w:noProof/>
          <w:sz w:val="22"/>
          <w:szCs w:val="22"/>
          <w:lang w:eastAsia="en-GB"/>
        </w:rPr>
        <w:t xml:space="preserve">necessary to confirm the appropriate usage of this one off </w:t>
      </w:r>
      <w:r w:rsidR="004A4D75">
        <w:rPr>
          <w:rFonts w:ascii="Arial" w:hAnsi="Arial" w:cs="Arial"/>
          <w:noProof/>
          <w:sz w:val="22"/>
          <w:szCs w:val="22"/>
          <w:lang w:eastAsia="en-GB"/>
        </w:rPr>
        <w:t>PCIP</w:t>
      </w:r>
      <w:r w:rsidRPr="00D459B2">
        <w:rPr>
          <w:rFonts w:ascii="Arial" w:hAnsi="Arial" w:cs="Arial"/>
          <w:noProof/>
          <w:sz w:val="22"/>
          <w:szCs w:val="22"/>
          <w:lang w:eastAsia="en-GB"/>
        </w:rPr>
        <w:t xml:space="preserve"> funding.</w:t>
      </w:r>
    </w:p>
    <w:p w:rsidR="00ED1DCC" w:rsidRDefault="00ED1DCC" w:rsidP="00AF3B99">
      <w:pPr>
        <w:jc w:val="both"/>
        <w:rPr>
          <w:rFonts w:ascii="Arial" w:hAnsi="Arial" w:cs="Arial"/>
          <w:noProof/>
          <w:sz w:val="22"/>
          <w:szCs w:val="22"/>
          <w:lang w:eastAsia="en-GB"/>
        </w:rPr>
      </w:pPr>
    </w:p>
    <w:p w:rsidR="005E2864" w:rsidRDefault="00ED1DCC" w:rsidP="00AF3B99">
      <w:pPr>
        <w:jc w:val="both"/>
        <w:rPr>
          <w:rFonts w:ascii="Arial" w:hAnsi="Arial" w:cs="Arial"/>
          <w:noProof/>
          <w:sz w:val="22"/>
          <w:szCs w:val="22"/>
          <w:lang w:eastAsia="en-GB"/>
        </w:rPr>
      </w:pPr>
      <w:r w:rsidRPr="00ED1DCC">
        <w:rPr>
          <w:rFonts w:ascii="Arial" w:hAnsi="Arial" w:cs="Arial"/>
          <w:noProof/>
          <w:sz w:val="22"/>
          <w:szCs w:val="22"/>
          <w:lang w:eastAsia="en-GB"/>
        </w:rPr>
        <w:t xml:space="preserve">At the current time of reporting therefore </w:t>
      </w:r>
      <w:r w:rsidRPr="00ED1DCC">
        <w:rPr>
          <w:rFonts w:ascii="Arial" w:hAnsi="Arial" w:cs="Arial"/>
          <w:b/>
          <w:noProof/>
          <w:color w:val="0070C0"/>
          <w:sz w:val="22"/>
          <w:szCs w:val="22"/>
          <w:lang w:eastAsia="en-GB"/>
        </w:rPr>
        <w:t>£1.021m</w:t>
      </w:r>
      <w:r w:rsidRPr="00ED1DCC">
        <w:rPr>
          <w:rFonts w:ascii="Arial" w:hAnsi="Arial" w:cs="Arial"/>
          <w:noProof/>
          <w:sz w:val="22"/>
          <w:szCs w:val="22"/>
          <w:lang w:eastAsia="en-GB"/>
        </w:rPr>
        <w:t xml:space="preserve"> of the total non-recurring resource available remains undirected by PCIP Executive Group.</w:t>
      </w:r>
      <w:r w:rsidR="00903F84">
        <w:rPr>
          <w:rFonts w:ascii="Arial" w:hAnsi="Arial" w:cs="Arial"/>
          <w:noProof/>
          <w:sz w:val="22"/>
          <w:szCs w:val="22"/>
          <w:lang w:eastAsia="en-GB"/>
        </w:rPr>
        <w:t xml:space="preserve"> A f</w:t>
      </w:r>
      <w:r>
        <w:rPr>
          <w:rFonts w:ascii="Arial" w:hAnsi="Arial" w:cs="Arial"/>
          <w:noProof/>
          <w:sz w:val="22"/>
          <w:szCs w:val="22"/>
          <w:lang w:eastAsia="en-GB"/>
        </w:rPr>
        <w:t>urther updated positions will be reported going forward on a monthly basis as further non-recurring commitments are made.</w:t>
      </w:r>
    </w:p>
    <w:p w:rsidR="00D67542" w:rsidRDefault="00D67542" w:rsidP="00AF3B99">
      <w:pPr>
        <w:jc w:val="both"/>
        <w:rPr>
          <w:rFonts w:ascii="Arial" w:hAnsi="Arial" w:cs="Arial"/>
          <w:noProof/>
          <w:sz w:val="22"/>
          <w:szCs w:val="22"/>
          <w:lang w:eastAsia="en-GB"/>
        </w:rPr>
      </w:pPr>
    </w:p>
    <w:p w:rsidR="00112408" w:rsidRDefault="00112408" w:rsidP="00AF3B99">
      <w:pPr>
        <w:jc w:val="both"/>
        <w:rPr>
          <w:rFonts w:ascii="Arial" w:hAnsi="Arial" w:cs="Arial"/>
          <w:noProof/>
          <w:sz w:val="22"/>
          <w:szCs w:val="22"/>
          <w:lang w:eastAsia="en-GB"/>
        </w:rPr>
      </w:pPr>
      <w:r>
        <w:rPr>
          <w:rFonts w:ascii="Arial" w:hAnsi="Arial" w:cs="Arial"/>
          <w:noProof/>
          <w:sz w:val="22"/>
          <w:szCs w:val="22"/>
          <w:lang w:eastAsia="en-GB"/>
        </w:rPr>
        <w:t>The position reported above is based on the outcomes of a further piece of work undertaken in mid-June, where a number of submitted proposals were evaluated in terms of (1) patient safety and care, (2) supporting delivery of PCIP and (3) promotion of access to services, by a small sub-group of PCIP Executive.</w:t>
      </w:r>
    </w:p>
    <w:p w:rsidR="00112408" w:rsidRDefault="00112408" w:rsidP="00AF3B99">
      <w:pPr>
        <w:jc w:val="both"/>
        <w:rPr>
          <w:rFonts w:ascii="Arial" w:hAnsi="Arial" w:cs="Arial"/>
          <w:noProof/>
          <w:sz w:val="22"/>
          <w:szCs w:val="22"/>
          <w:lang w:eastAsia="en-GB"/>
        </w:rPr>
      </w:pPr>
    </w:p>
    <w:p w:rsidR="00AF3B99" w:rsidRDefault="00AF3B99" w:rsidP="00AF3B99">
      <w:pPr>
        <w:jc w:val="both"/>
        <w:rPr>
          <w:rFonts w:ascii="Arial" w:hAnsi="Arial" w:cs="Arial"/>
          <w:noProof/>
          <w:sz w:val="22"/>
          <w:szCs w:val="22"/>
          <w:lang w:eastAsia="en-GB"/>
        </w:rPr>
      </w:pPr>
      <w:r>
        <w:rPr>
          <w:rFonts w:ascii="Arial" w:hAnsi="Arial" w:cs="Arial"/>
          <w:noProof/>
          <w:sz w:val="22"/>
          <w:szCs w:val="22"/>
          <w:lang w:eastAsia="en-GB"/>
        </w:rPr>
        <w:t>Going forward, the PCIP Executive will require to determine the component elements of the remainder of a costed plan to fully utilise the balance of uncommitted resources. There are a number of potential options as to how this resource can and should be used, including:</w:t>
      </w:r>
    </w:p>
    <w:p w:rsidR="00112408" w:rsidRDefault="00112408" w:rsidP="00AF3B99">
      <w:pPr>
        <w:jc w:val="both"/>
        <w:rPr>
          <w:rFonts w:ascii="Arial" w:hAnsi="Arial" w:cs="Arial"/>
          <w:noProof/>
          <w:sz w:val="22"/>
          <w:szCs w:val="22"/>
          <w:lang w:eastAsia="en-GB"/>
        </w:rPr>
      </w:pPr>
    </w:p>
    <w:p w:rsidR="00AF3B99" w:rsidRDefault="00AF3B99" w:rsidP="00AF3B99">
      <w:pPr>
        <w:pStyle w:val="ListParagraph"/>
        <w:numPr>
          <w:ilvl w:val="0"/>
          <w:numId w:val="10"/>
        </w:numPr>
        <w:spacing w:after="0" w:line="240" w:lineRule="auto"/>
        <w:jc w:val="both"/>
        <w:rPr>
          <w:rFonts w:ascii="Arial" w:hAnsi="Arial" w:cs="Arial"/>
          <w:noProof/>
          <w:lang w:eastAsia="en-GB"/>
        </w:rPr>
      </w:pPr>
      <w:r>
        <w:rPr>
          <w:rFonts w:ascii="Arial" w:hAnsi="Arial" w:cs="Arial"/>
          <w:noProof/>
          <w:lang w:eastAsia="en-GB"/>
        </w:rPr>
        <w:t xml:space="preserve">Directing </w:t>
      </w:r>
      <w:r w:rsidRPr="00EB32F9">
        <w:rPr>
          <w:rFonts w:ascii="Arial" w:hAnsi="Arial" w:cs="Arial"/>
          <w:b/>
          <w:noProof/>
          <w:color w:val="0070C0"/>
          <w:lang w:eastAsia="en-GB"/>
        </w:rPr>
        <w:t>£0.735m</w:t>
      </w:r>
      <w:r>
        <w:rPr>
          <w:rFonts w:ascii="Arial" w:hAnsi="Arial" w:cs="Arial"/>
          <w:noProof/>
          <w:lang w:eastAsia="en-GB"/>
        </w:rPr>
        <w:t xml:space="preserve"> to the Vaccination Transformation Programme on a non-recurring basis to enable it to commence for 12 months from 01 October 2021;</w:t>
      </w:r>
    </w:p>
    <w:p w:rsidR="00AF3B99" w:rsidRDefault="00AF3B99" w:rsidP="00AF3B99">
      <w:pPr>
        <w:pStyle w:val="ListParagraph"/>
        <w:numPr>
          <w:ilvl w:val="0"/>
          <w:numId w:val="10"/>
        </w:numPr>
        <w:spacing w:after="0" w:line="240" w:lineRule="auto"/>
        <w:jc w:val="both"/>
        <w:rPr>
          <w:rFonts w:ascii="Arial" w:hAnsi="Arial" w:cs="Arial"/>
          <w:noProof/>
          <w:lang w:eastAsia="en-GB"/>
        </w:rPr>
      </w:pPr>
      <w:r>
        <w:rPr>
          <w:rFonts w:ascii="Arial" w:hAnsi="Arial" w:cs="Arial"/>
          <w:noProof/>
          <w:lang w:eastAsia="en-GB"/>
        </w:rPr>
        <w:t xml:space="preserve">Holding in reserve to contribute non-recurrently towards the indicative high level estimated cost of </w:t>
      </w:r>
      <w:r w:rsidRPr="00EB32F9">
        <w:rPr>
          <w:rFonts w:ascii="Arial" w:hAnsi="Arial" w:cs="Arial"/>
          <w:b/>
          <w:noProof/>
          <w:color w:val="0070C0"/>
          <w:lang w:eastAsia="en-GB"/>
        </w:rPr>
        <w:t>£1.856m</w:t>
      </w:r>
      <w:r>
        <w:rPr>
          <w:rFonts w:ascii="Arial" w:hAnsi="Arial" w:cs="Arial"/>
          <w:noProof/>
          <w:lang w:eastAsia="en-GB"/>
        </w:rPr>
        <w:t xml:space="preserve"> of CTCS, subject to the full scope and workstream programme being developed and agreed;</w:t>
      </w:r>
    </w:p>
    <w:p w:rsidR="00AF3B99" w:rsidRDefault="00AF3B99" w:rsidP="00AF3B99">
      <w:pPr>
        <w:pStyle w:val="ListParagraph"/>
        <w:numPr>
          <w:ilvl w:val="0"/>
          <w:numId w:val="10"/>
        </w:numPr>
        <w:spacing w:after="0" w:line="240" w:lineRule="auto"/>
        <w:jc w:val="both"/>
        <w:rPr>
          <w:rFonts w:ascii="Arial" w:hAnsi="Arial" w:cs="Arial"/>
          <w:noProof/>
          <w:lang w:eastAsia="en-GB"/>
        </w:rPr>
      </w:pPr>
      <w:r>
        <w:rPr>
          <w:rFonts w:ascii="Arial" w:hAnsi="Arial" w:cs="Arial"/>
          <w:noProof/>
          <w:lang w:eastAsia="en-GB"/>
        </w:rPr>
        <w:t>Continuing to identify and evaluate additional non-recurring proposals as they arise directing funding to them non-recurrently if approved;</w:t>
      </w:r>
    </w:p>
    <w:p w:rsidR="00AF3B99" w:rsidRPr="00AF3B99" w:rsidRDefault="00AF3B99" w:rsidP="00AF3B99">
      <w:pPr>
        <w:pStyle w:val="ListParagraph"/>
        <w:numPr>
          <w:ilvl w:val="0"/>
          <w:numId w:val="10"/>
        </w:numPr>
        <w:spacing w:after="0" w:line="240" w:lineRule="auto"/>
        <w:jc w:val="both"/>
        <w:rPr>
          <w:rFonts w:ascii="Arial" w:hAnsi="Arial" w:cs="Arial"/>
          <w:noProof/>
          <w:lang w:eastAsia="en-GB"/>
        </w:rPr>
      </w:pPr>
      <w:r>
        <w:rPr>
          <w:rFonts w:ascii="Arial" w:hAnsi="Arial" w:cs="Arial"/>
          <w:noProof/>
          <w:lang w:eastAsia="en-GB"/>
        </w:rPr>
        <w:t>Identifying a further non-recurring use of the resource to support the implementation of PCIP</w:t>
      </w:r>
    </w:p>
    <w:p w:rsidR="00AF3B99" w:rsidRDefault="00AF3B99" w:rsidP="00AF3B99">
      <w:pPr>
        <w:jc w:val="both"/>
        <w:rPr>
          <w:rFonts w:ascii="Arial" w:hAnsi="Arial" w:cs="Arial"/>
          <w:noProof/>
          <w:sz w:val="22"/>
          <w:szCs w:val="22"/>
          <w:lang w:eastAsia="en-GB"/>
        </w:rPr>
      </w:pPr>
    </w:p>
    <w:p w:rsidR="00082D20" w:rsidRDefault="00082D20" w:rsidP="00AF3B99">
      <w:pPr>
        <w:jc w:val="both"/>
        <w:rPr>
          <w:rFonts w:ascii="Arial" w:hAnsi="Arial" w:cs="Arial"/>
          <w:noProof/>
          <w:sz w:val="22"/>
          <w:szCs w:val="22"/>
          <w:lang w:eastAsia="en-GB"/>
        </w:rPr>
      </w:pPr>
    </w:p>
    <w:p w:rsidR="00807385" w:rsidRPr="00EB32F9" w:rsidRDefault="00086593" w:rsidP="00AF3B99">
      <w:pPr>
        <w:rPr>
          <w:rFonts w:ascii="Arial" w:hAnsi="Arial" w:cs="Arial"/>
          <w:b/>
          <w:noProof/>
          <w:sz w:val="22"/>
          <w:szCs w:val="22"/>
          <w:lang w:eastAsia="en-GB"/>
        </w:rPr>
      </w:pPr>
      <w:r w:rsidRPr="00EB32F9">
        <w:rPr>
          <w:rFonts w:ascii="Arial" w:hAnsi="Arial" w:cs="Arial"/>
          <w:b/>
          <w:noProof/>
          <w:sz w:val="22"/>
          <w:szCs w:val="22"/>
          <w:lang w:eastAsia="en-GB"/>
        </w:rPr>
        <w:t>Delivery Performance of</w:t>
      </w:r>
      <w:r w:rsidR="0048304E" w:rsidRPr="00EB32F9">
        <w:rPr>
          <w:rFonts w:ascii="Arial" w:hAnsi="Arial" w:cs="Arial"/>
          <w:b/>
          <w:noProof/>
          <w:sz w:val="22"/>
          <w:szCs w:val="22"/>
          <w:lang w:eastAsia="en-GB"/>
        </w:rPr>
        <w:t xml:space="preserve"> PCIP</w:t>
      </w:r>
      <w:r w:rsidRPr="00EB32F9">
        <w:rPr>
          <w:rFonts w:ascii="Arial" w:hAnsi="Arial" w:cs="Arial"/>
          <w:b/>
          <w:noProof/>
          <w:sz w:val="22"/>
          <w:szCs w:val="22"/>
          <w:lang w:eastAsia="en-GB"/>
        </w:rPr>
        <w:t xml:space="preserve"> Workstream Priorities</w:t>
      </w:r>
    </w:p>
    <w:p w:rsidR="00807385" w:rsidRPr="00EB32F9" w:rsidRDefault="00807385" w:rsidP="00AF3B99">
      <w:pPr>
        <w:ind w:left="360"/>
        <w:jc w:val="both"/>
        <w:rPr>
          <w:rFonts w:ascii="Arial" w:hAnsi="Arial" w:cs="Arial"/>
          <w:noProof/>
          <w:sz w:val="22"/>
          <w:szCs w:val="22"/>
          <w:lang w:eastAsia="en-GB"/>
        </w:rPr>
      </w:pPr>
    </w:p>
    <w:p w:rsidR="00EB32F9" w:rsidRDefault="00807385" w:rsidP="00AF3B99">
      <w:pPr>
        <w:jc w:val="both"/>
        <w:rPr>
          <w:rFonts w:ascii="Arial" w:hAnsi="Arial" w:cs="Arial"/>
          <w:sz w:val="22"/>
          <w:szCs w:val="22"/>
        </w:rPr>
      </w:pPr>
      <w:r w:rsidRPr="00EB32F9">
        <w:rPr>
          <w:rFonts w:ascii="Arial" w:hAnsi="Arial" w:cs="Arial"/>
          <w:noProof/>
          <w:sz w:val="22"/>
          <w:szCs w:val="22"/>
          <w:lang w:eastAsia="en-GB"/>
        </w:rPr>
        <w:t xml:space="preserve">Revised timelines and </w:t>
      </w:r>
      <w:r w:rsidR="0048304E" w:rsidRPr="00EB32F9">
        <w:rPr>
          <w:rFonts w:ascii="Arial" w:hAnsi="Arial" w:cs="Arial"/>
          <w:noProof/>
          <w:sz w:val="22"/>
          <w:szCs w:val="22"/>
          <w:lang w:eastAsia="en-GB"/>
        </w:rPr>
        <w:t>amendments to regulations for the workstream priorities set out in the GMS contract were highlighted in the joint letter issued on the 2</w:t>
      </w:r>
      <w:r w:rsidR="0048304E" w:rsidRPr="00EB32F9">
        <w:rPr>
          <w:rFonts w:ascii="Arial" w:hAnsi="Arial" w:cs="Arial"/>
          <w:noProof/>
          <w:sz w:val="22"/>
          <w:szCs w:val="22"/>
          <w:vertAlign w:val="superscript"/>
          <w:lang w:eastAsia="en-GB"/>
        </w:rPr>
        <w:t>nd</w:t>
      </w:r>
      <w:r w:rsidR="0048304E" w:rsidRPr="00EB32F9">
        <w:rPr>
          <w:rFonts w:ascii="Arial" w:hAnsi="Arial" w:cs="Arial"/>
          <w:noProof/>
          <w:sz w:val="22"/>
          <w:szCs w:val="22"/>
          <w:lang w:eastAsia="en-GB"/>
        </w:rPr>
        <w:t xml:space="preserve"> of December. </w:t>
      </w:r>
      <w:r w:rsidR="0048304E" w:rsidRPr="00EB32F9">
        <w:rPr>
          <w:rFonts w:ascii="Arial" w:hAnsi="Arial" w:cs="Arial"/>
          <w:sz w:val="22"/>
          <w:szCs w:val="22"/>
        </w:rPr>
        <w:t>The joint letter confirmed that SG are keen for NHS Boards, Health &amp; Social Care Partnerships and Board funded GP sub-committees to accelerate service redesign in the next 18 months at local level and that transitionary services are not seen as a long term solution to the delivery</w:t>
      </w:r>
      <w:r w:rsidR="00EB32F9">
        <w:rPr>
          <w:rFonts w:ascii="Arial" w:hAnsi="Arial" w:cs="Arial"/>
          <w:sz w:val="22"/>
          <w:szCs w:val="22"/>
        </w:rPr>
        <w:t xml:space="preserve"> of the PCIP required outcomes.</w:t>
      </w:r>
    </w:p>
    <w:p w:rsidR="00EB32F9" w:rsidRDefault="00EB32F9" w:rsidP="00AF3B99">
      <w:pPr>
        <w:jc w:val="both"/>
        <w:rPr>
          <w:rFonts w:ascii="Arial" w:hAnsi="Arial" w:cs="Arial"/>
          <w:sz w:val="22"/>
          <w:szCs w:val="22"/>
        </w:rPr>
      </w:pPr>
    </w:p>
    <w:p w:rsidR="007E16B3" w:rsidRPr="00EB32F9" w:rsidRDefault="00EB32F9" w:rsidP="00AF3B99">
      <w:pPr>
        <w:jc w:val="both"/>
        <w:rPr>
          <w:rFonts w:ascii="Arial" w:hAnsi="Arial" w:cs="Arial"/>
          <w:sz w:val="22"/>
          <w:szCs w:val="22"/>
        </w:rPr>
      </w:pPr>
      <w:r>
        <w:rPr>
          <w:rFonts w:ascii="Arial" w:hAnsi="Arial" w:cs="Arial"/>
          <w:sz w:val="22"/>
          <w:szCs w:val="22"/>
        </w:rPr>
        <w:t xml:space="preserve">In order to ensure that PCIP Executive Group and Workstream Leads remain sighted and focussed on the required outcomes and in particular timescales, a summary </w:t>
      </w:r>
      <w:r w:rsidR="00037EC0">
        <w:rPr>
          <w:rFonts w:ascii="Arial" w:hAnsi="Arial" w:cs="Arial"/>
          <w:sz w:val="22"/>
          <w:szCs w:val="22"/>
        </w:rPr>
        <w:t xml:space="preserve">in chronological order therefore </w:t>
      </w:r>
      <w:r>
        <w:rPr>
          <w:rFonts w:ascii="Arial" w:hAnsi="Arial" w:cs="Arial"/>
          <w:sz w:val="22"/>
          <w:szCs w:val="22"/>
        </w:rPr>
        <w:t xml:space="preserve">is detailed below: </w:t>
      </w:r>
    </w:p>
    <w:p w:rsidR="00885047" w:rsidRPr="00AE7D71" w:rsidRDefault="00885047" w:rsidP="00AF3B99">
      <w:pPr>
        <w:ind w:left="360"/>
        <w:jc w:val="both"/>
        <w:rPr>
          <w:rFonts w:ascii="Arial" w:hAnsi="Arial" w:cs="Arial"/>
          <w:sz w:val="22"/>
          <w:szCs w:val="22"/>
          <w:highlight w:val="yellow"/>
        </w:rPr>
      </w:pPr>
    </w:p>
    <w:p w:rsidR="00903F84" w:rsidRDefault="00903F84">
      <w:pPr>
        <w:spacing w:after="200" w:line="276" w:lineRule="auto"/>
        <w:rPr>
          <w:rFonts w:ascii="Arial" w:eastAsiaTheme="minorHAnsi" w:hAnsi="Arial" w:cs="Arial"/>
          <w:sz w:val="22"/>
          <w:szCs w:val="22"/>
        </w:rPr>
      </w:pPr>
      <w:r>
        <w:rPr>
          <w:rFonts w:ascii="Arial" w:eastAsiaTheme="minorHAnsi" w:hAnsi="Arial" w:cs="Arial"/>
          <w:sz w:val="22"/>
          <w:szCs w:val="22"/>
        </w:rPr>
        <w:br w:type="page"/>
      </w:r>
    </w:p>
    <w:tbl>
      <w:tblPr>
        <w:tblW w:w="7720" w:type="dxa"/>
        <w:jc w:val="center"/>
        <w:tblInd w:w="96" w:type="dxa"/>
        <w:tblLook w:val="04A0"/>
      </w:tblPr>
      <w:tblGrid>
        <w:gridCol w:w="2080"/>
        <w:gridCol w:w="4060"/>
        <w:gridCol w:w="1580"/>
      </w:tblGrid>
      <w:tr w:rsidR="00903F84" w:rsidRPr="00903F84" w:rsidTr="00903F84">
        <w:trPr>
          <w:trHeight w:val="276"/>
          <w:jc w:val="center"/>
        </w:trPr>
        <w:tc>
          <w:tcPr>
            <w:tcW w:w="2080" w:type="dxa"/>
            <w:tcBorders>
              <w:top w:val="single" w:sz="4" w:space="0" w:color="auto"/>
              <w:left w:val="single" w:sz="4" w:space="0" w:color="auto"/>
              <w:bottom w:val="single" w:sz="4" w:space="0" w:color="auto"/>
              <w:right w:val="single" w:sz="4" w:space="0" w:color="auto"/>
            </w:tcBorders>
            <w:shd w:val="clear" w:color="000000" w:fill="FFFFFF"/>
            <w:noWrap/>
            <w:hideMark/>
          </w:tcPr>
          <w:p w:rsidR="00903F84" w:rsidRPr="00903F84" w:rsidRDefault="00903F84" w:rsidP="00903F84">
            <w:pPr>
              <w:jc w:val="center"/>
              <w:rPr>
                <w:rFonts w:ascii="Arial" w:hAnsi="Arial" w:cs="Arial"/>
                <w:b/>
                <w:bCs/>
                <w:color w:val="000000"/>
                <w:lang w:eastAsia="en-GB"/>
              </w:rPr>
            </w:pPr>
            <w:r w:rsidRPr="00903F84">
              <w:rPr>
                <w:rFonts w:ascii="Arial" w:hAnsi="Arial" w:cs="Arial"/>
                <w:b/>
                <w:bCs/>
                <w:color w:val="000000"/>
                <w:sz w:val="22"/>
                <w:szCs w:val="22"/>
                <w:lang w:eastAsia="en-GB"/>
              </w:rPr>
              <w:lastRenderedPageBreak/>
              <w:t>Workstream</w:t>
            </w:r>
          </w:p>
        </w:tc>
        <w:tc>
          <w:tcPr>
            <w:tcW w:w="4060" w:type="dxa"/>
            <w:tcBorders>
              <w:top w:val="single" w:sz="4" w:space="0" w:color="auto"/>
              <w:left w:val="nil"/>
              <w:bottom w:val="single" w:sz="4" w:space="0" w:color="auto"/>
              <w:right w:val="single" w:sz="4" w:space="0" w:color="auto"/>
            </w:tcBorders>
            <w:shd w:val="clear" w:color="000000" w:fill="FFFFFF"/>
            <w:noWrap/>
            <w:hideMark/>
          </w:tcPr>
          <w:p w:rsidR="00903F84" w:rsidRPr="00903F84" w:rsidRDefault="00903F84" w:rsidP="00903F84">
            <w:pPr>
              <w:jc w:val="center"/>
              <w:rPr>
                <w:rFonts w:ascii="Arial" w:hAnsi="Arial" w:cs="Arial"/>
                <w:b/>
                <w:bCs/>
                <w:color w:val="000000"/>
                <w:lang w:eastAsia="en-GB"/>
              </w:rPr>
            </w:pPr>
            <w:r w:rsidRPr="00903F84">
              <w:rPr>
                <w:rFonts w:ascii="Arial" w:hAnsi="Arial" w:cs="Arial"/>
                <w:b/>
                <w:bCs/>
                <w:color w:val="000000"/>
                <w:sz w:val="22"/>
                <w:szCs w:val="22"/>
                <w:lang w:eastAsia="en-GB"/>
              </w:rPr>
              <w:t>Requirement</w:t>
            </w:r>
          </w:p>
        </w:tc>
        <w:tc>
          <w:tcPr>
            <w:tcW w:w="1580" w:type="dxa"/>
            <w:tcBorders>
              <w:top w:val="single" w:sz="4" w:space="0" w:color="auto"/>
              <w:left w:val="nil"/>
              <w:bottom w:val="single" w:sz="4" w:space="0" w:color="auto"/>
              <w:right w:val="single" w:sz="4" w:space="0" w:color="auto"/>
            </w:tcBorders>
            <w:shd w:val="clear" w:color="000000" w:fill="FFFFFF"/>
            <w:noWrap/>
            <w:hideMark/>
          </w:tcPr>
          <w:p w:rsidR="00903F84" w:rsidRPr="00903F84" w:rsidRDefault="00903F84" w:rsidP="00903F84">
            <w:pPr>
              <w:jc w:val="center"/>
              <w:rPr>
                <w:rFonts w:ascii="Arial" w:hAnsi="Arial" w:cs="Arial"/>
                <w:b/>
                <w:bCs/>
                <w:color w:val="000000"/>
                <w:lang w:eastAsia="en-GB"/>
              </w:rPr>
            </w:pPr>
            <w:r w:rsidRPr="00903F84">
              <w:rPr>
                <w:rFonts w:ascii="Arial" w:hAnsi="Arial" w:cs="Arial"/>
                <w:b/>
                <w:bCs/>
                <w:color w:val="000000"/>
                <w:sz w:val="22"/>
                <w:szCs w:val="22"/>
                <w:lang w:eastAsia="en-GB"/>
              </w:rPr>
              <w:t>Timescale 1</w:t>
            </w:r>
          </w:p>
        </w:tc>
      </w:tr>
      <w:tr w:rsidR="00903F84" w:rsidRPr="00903F84" w:rsidTr="00903F84">
        <w:trPr>
          <w:trHeight w:val="552"/>
          <w:jc w:val="center"/>
        </w:trPr>
        <w:tc>
          <w:tcPr>
            <w:tcW w:w="20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03F84" w:rsidRPr="00903F84" w:rsidRDefault="00903F84" w:rsidP="00903F84">
            <w:pPr>
              <w:jc w:val="center"/>
              <w:rPr>
                <w:rFonts w:ascii="Arial" w:hAnsi="Arial" w:cs="Arial"/>
                <w:color w:val="000000"/>
                <w:lang w:eastAsia="en-GB"/>
              </w:rPr>
            </w:pPr>
            <w:r w:rsidRPr="00903F84">
              <w:rPr>
                <w:rFonts w:ascii="Arial" w:hAnsi="Arial" w:cs="Arial"/>
                <w:color w:val="000000"/>
                <w:sz w:val="22"/>
                <w:szCs w:val="22"/>
                <w:lang w:eastAsia="en-GB"/>
              </w:rPr>
              <w:t>Vaccination</w:t>
            </w:r>
          </w:p>
        </w:tc>
        <w:tc>
          <w:tcPr>
            <w:tcW w:w="4060" w:type="dxa"/>
            <w:tcBorders>
              <w:top w:val="nil"/>
              <w:left w:val="nil"/>
              <w:bottom w:val="single" w:sz="4" w:space="0" w:color="auto"/>
              <w:right w:val="single" w:sz="4" w:space="0" w:color="auto"/>
            </w:tcBorders>
            <w:shd w:val="clear" w:color="000000" w:fill="FFFFFF"/>
            <w:vAlign w:val="center"/>
            <w:hideMark/>
          </w:tcPr>
          <w:p w:rsidR="00903F84" w:rsidRPr="00903F84" w:rsidRDefault="00903F84" w:rsidP="00903F84">
            <w:pPr>
              <w:rPr>
                <w:rFonts w:ascii="Arial" w:hAnsi="Arial" w:cs="Arial"/>
                <w:color w:val="000000"/>
                <w:lang w:eastAsia="en-GB"/>
              </w:rPr>
            </w:pPr>
            <w:r w:rsidRPr="00903F84">
              <w:rPr>
                <w:rFonts w:ascii="Arial" w:hAnsi="Arial" w:cs="Arial"/>
                <w:color w:val="000000"/>
                <w:sz w:val="22"/>
                <w:szCs w:val="22"/>
                <w:lang w:eastAsia="en-GB"/>
              </w:rPr>
              <w:t>Removal of existing services from GP Contract</w:t>
            </w:r>
          </w:p>
        </w:tc>
        <w:tc>
          <w:tcPr>
            <w:tcW w:w="1580" w:type="dxa"/>
            <w:tcBorders>
              <w:top w:val="nil"/>
              <w:left w:val="nil"/>
              <w:bottom w:val="single" w:sz="4" w:space="0" w:color="auto"/>
              <w:right w:val="single" w:sz="4" w:space="0" w:color="auto"/>
            </w:tcBorders>
            <w:shd w:val="clear" w:color="000000" w:fill="FFFFFF"/>
            <w:noWrap/>
            <w:vAlign w:val="center"/>
            <w:hideMark/>
          </w:tcPr>
          <w:p w:rsidR="00903F84" w:rsidRPr="00903F84" w:rsidRDefault="00903F84" w:rsidP="00903F84">
            <w:pPr>
              <w:jc w:val="center"/>
              <w:rPr>
                <w:rFonts w:ascii="Arial" w:hAnsi="Arial" w:cs="Arial"/>
                <w:color w:val="000000"/>
                <w:lang w:eastAsia="en-GB"/>
              </w:rPr>
            </w:pPr>
            <w:r w:rsidRPr="00903F84">
              <w:rPr>
                <w:rFonts w:ascii="Arial" w:hAnsi="Arial" w:cs="Arial"/>
                <w:color w:val="000000"/>
                <w:sz w:val="22"/>
                <w:szCs w:val="22"/>
                <w:lang w:eastAsia="en-GB"/>
              </w:rPr>
              <w:t>01/10/2021</w:t>
            </w:r>
          </w:p>
        </w:tc>
      </w:tr>
      <w:tr w:rsidR="00903F84" w:rsidRPr="00903F84" w:rsidTr="00903F84">
        <w:trPr>
          <w:trHeight w:val="276"/>
          <w:jc w:val="center"/>
        </w:trPr>
        <w:tc>
          <w:tcPr>
            <w:tcW w:w="2080" w:type="dxa"/>
            <w:vMerge/>
            <w:tcBorders>
              <w:top w:val="nil"/>
              <w:left w:val="single" w:sz="4" w:space="0" w:color="auto"/>
              <w:bottom w:val="single" w:sz="4" w:space="0" w:color="000000"/>
              <w:right w:val="single" w:sz="4" w:space="0" w:color="auto"/>
            </w:tcBorders>
            <w:vAlign w:val="center"/>
            <w:hideMark/>
          </w:tcPr>
          <w:p w:rsidR="00903F84" w:rsidRPr="00903F84" w:rsidRDefault="00903F84" w:rsidP="00903F84">
            <w:pPr>
              <w:rPr>
                <w:rFonts w:ascii="Arial" w:hAnsi="Arial" w:cs="Arial"/>
                <w:color w:val="000000"/>
                <w:lang w:eastAsia="en-GB"/>
              </w:rPr>
            </w:pPr>
          </w:p>
        </w:tc>
        <w:tc>
          <w:tcPr>
            <w:tcW w:w="4060" w:type="dxa"/>
            <w:tcBorders>
              <w:top w:val="nil"/>
              <w:left w:val="nil"/>
              <w:bottom w:val="single" w:sz="4" w:space="0" w:color="auto"/>
              <w:right w:val="single" w:sz="4" w:space="0" w:color="auto"/>
            </w:tcBorders>
            <w:shd w:val="clear" w:color="000000" w:fill="FFFFFF"/>
            <w:vAlign w:val="center"/>
            <w:hideMark/>
          </w:tcPr>
          <w:p w:rsidR="00903F84" w:rsidRPr="00903F84" w:rsidRDefault="00903F84" w:rsidP="00903F84">
            <w:pPr>
              <w:rPr>
                <w:rFonts w:ascii="Arial" w:hAnsi="Arial" w:cs="Arial"/>
                <w:color w:val="000000"/>
                <w:lang w:eastAsia="en-GB"/>
              </w:rPr>
            </w:pPr>
            <w:r w:rsidRPr="00903F84">
              <w:rPr>
                <w:rFonts w:ascii="Arial" w:hAnsi="Arial" w:cs="Arial"/>
                <w:color w:val="000000"/>
                <w:sz w:val="22"/>
                <w:szCs w:val="22"/>
                <w:lang w:eastAsia="en-GB"/>
              </w:rPr>
              <w:t>Transitional arrangements established</w:t>
            </w:r>
          </w:p>
        </w:tc>
        <w:tc>
          <w:tcPr>
            <w:tcW w:w="1580" w:type="dxa"/>
            <w:tcBorders>
              <w:top w:val="nil"/>
              <w:left w:val="nil"/>
              <w:bottom w:val="single" w:sz="4" w:space="0" w:color="auto"/>
              <w:right w:val="single" w:sz="4" w:space="0" w:color="auto"/>
            </w:tcBorders>
            <w:shd w:val="clear" w:color="000000" w:fill="FFFFFF"/>
            <w:noWrap/>
            <w:vAlign w:val="center"/>
            <w:hideMark/>
          </w:tcPr>
          <w:p w:rsidR="00903F84" w:rsidRPr="00903F84" w:rsidRDefault="00903F84" w:rsidP="00903F84">
            <w:pPr>
              <w:jc w:val="center"/>
              <w:rPr>
                <w:rFonts w:ascii="Arial" w:hAnsi="Arial" w:cs="Arial"/>
                <w:color w:val="000000"/>
                <w:lang w:eastAsia="en-GB"/>
              </w:rPr>
            </w:pPr>
            <w:r w:rsidRPr="00903F84">
              <w:rPr>
                <w:rFonts w:ascii="Arial" w:hAnsi="Arial" w:cs="Arial"/>
                <w:color w:val="000000"/>
                <w:sz w:val="22"/>
                <w:szCs w:val="22"/>
                <w:lang w:eastAsia="en-GB"/>
              </w:rPr>
              <w:t>01/10/2021</w:t>
            </w:r>
          </w:p>
        </w:tc>
      </w:tr>
      <w:tr w:rsidR="00903F84" w:rsidRPr="00903F84" w:rsidTr="00903F84">
        <w:trPr>
          <w:trHeight w:val="552"/>
          <w:jc w:val="center"/>
        </w:trPr>
        <w:tc>
          <w:tcPr>
            <w:tcW w:w="2080" w:type="dxa"/>
            <w:vMerge/>
            <w:tcBorders>
              <w:top w:val="nil"/>
              <w:left w:val="single" w:sz="4" w:space="0" w:color="auto"/>
              <w:bottom w:val="single" w:sz="4" w:space="0" w:color="000000"/>
              <w:right w:val="single" w:sz="4" w:space="0" w:color="auto"/>
            </w:tcBorders>
            <w:vAlign w:val="center"/>
            <w:hideMark/>
          </w:tcPr>
          <w:p w:rsidR="00903F84" w:rsidRPr="00903F84" w:rsidRDefault="00903F84" w:rsidP="00903F84">
            <w:pPr>
              <w:rPr>
                <w:rFonts w:ascii="Arial" w:hAnsi="Arial" w:cs="Arial"/>
                <w:color w:val="000000"/>
                <w:lang w:eastAsia="en-GB"/>
              </w:rPr>
            </w:pPr>
          </w:p>
        </w:tc>
        <w:tc>
          <w:tcPr>
            <w:tcW w:w="4060" w:type="dxa"/>
            <w:tcBorders>
              <w:top w:val="nil"/>
              <w:left w:val="nil"/>
              <w:bottom w:val="single" w:sz="4" w:space="0" w:color="auto"/>
              <w:right w:val="single" w:sz="4" w:space="0" w:color="auto"/>
            </w:tcBorders>
            <w:shd w:val="clear" w:color="000000" w:fill="FFFFFF"/>
            <w:vAlign w:val="center"/>
            <w:hideMark/>
          </w:tcPr>
          <w:p w:rsidR="00903F84" w:rsidRPr="00903F84" w:rsidRDefault="00903F84" w:rsidP="00903F84">
            <w:pPr>
              <w:rPr>
                <w:rFonts w:ascii="Arial" w:hAnsi="Arial" w:cs="Arial"/>
                <w:color w:val="000000"/>
                <w:lang w:eastAsia="en-GB"/>
              </w:rPr>
            </w:pPr>
            <w:r w:rsidRPr="00903F84">
              <w:rPr>
                <w:rFonts w:ascii="Arial" w:hAnsi="Arial" w:cs="Arial"/>
                <w:color w:val="000000"/>
                <w:sz w:val="22"/>
                <w:szCs w:val="22"/>
                <w:lang w:eastAsia="en-GB"/>
              </w:rPr>
              <w:t>Vaccination income transfers into Global Sum</w:t>
            </w:r>
          </w:p>
        </w:tc>
        <w:tc>
          <w:tcPr>
            <w:tcW w:w="1580" w:type="dxa"/>
            <w:tcBorders>
              <w:top w:val="nil"/>
              <w:left w:val="nil"/>
              <w:bottom w:val="single" w:sz="4" w:space="0" w:color="auto"/>
              <w:right w:val="single" w:sz="4" w:space="0" w:color="auto"/>
            </w:tcBorders>
            <w:shd w:val="clear" w:color="000000" w:fill="FFFFFF"/>
            <w:noWrap/>
            <w:vAlign w:val="center"/>
            <w:hideMark/>
          </w:tcPr>
          <w:p w:rsidR="00903F84" w:rsidRPr="00903F84" w:rsidRDefault="00903F84" w:rsidP="00903F84">
            <w:pPr>
              <w:jc w:val="center"/>
              <w:rPr>
                <w:rFonts w:ascii="Arial" w:hAnsi="Arial" w:cs="Arial"/>
                <w:color w:val="000000"/>
                <w:lang w:eastAsia="en-GB"/>
              </w:rPr>
            </w:pPr>
            <w:r w:rsidRPr="00903F84">
              <w:rPr>
                <w:rFonts w:ascii="Arial" w:hAnsi="Arial" w:cs="Arial"/>
                <w:color w:val="000000"/>
                <w:sz w:val="22"/>
                <w:szCs w:val="22"/>
                <w:lang w:eastAsia="en-GB"/>
              </w:rPr>
              <w:t>01/04/2022</w:t>
            </w:r>
          </w:p>
        </w:tc>
      </w:tr>
      <w:tr w:rsidR="00903F84" w:rsidRPr="00903F84" w:rsidTr="00903F84">
        <w:trPr>
          <w:trHeight w:val="552"/>
          <w:jc w:val="center"/>
        </w:trPr>
        <w:tc>
          <w:tcPr>
            <w:tcW w:w="2080" w:type="dxa"/>
            <w:vMerge/>
            <w:tcBorders>
              <w:top w:val="nil"/>
              <w:left w:val="single" w:sz="4" w:space="0" w:color="auto"/>
              <w:bottom w:val="single" w:sz="4" w:space="0" w:color="000000"/>
              <w:right w:val="single" w:sz="4" w:space="0" w:color="auto"/>
            </w:tcBorders>
            <w:vAlign w:val="center"/>
            <w:hideMark/>
          </w:tcPr>
          <w:p w:rsidR="00903F84" w:rsidRPr="00903F84" w:rsidRDefault="00903F84" w:rsidP="00903F84">
            <w:pPr>
              <w:rPr>
                <w:rFonts w:ascii="Arial" w:hAnsi="Arial" w:cs="Arial"/>
                <w:color w:val="000000"/>
                <w:lang w:eastAsia="en-GB"/>
              </w:rPr>
            </w:pPr>
          </w:p>
        </w:tc>
        <w:tc>
          <w:tcPr>
            <w:tcW w:w="4060" w:type="dxa"/>
            <w:tcBorders>
              <w:top w:val="nil"/>
              <w:left w:val="nil"/>
              <w:bottom w:val="single" w:sz="4" w:space="0" w:color="auto"/>
              <w:right w:val="single" w:sz="4" w:space="0" w:color="auto"/>
            </w:tcBorders>
            <w:shd w:val="clear" w:color="000000" w:fill="FFFFFF"/>
            <w:vAlign w:val="center"/>
            <w:hideMark/>
          </w:tcPr>
          <w:p w:rsidR="00903F84" w:rsidRPr="00903F84" w:rsidRDefault="00903F84" w:rsidP="00903F84">
            <w:pPr>
              <w:rPr>
                <w:rFonts w:ascii="Arial" w:hAnsi="Arial" w:cs="Arial"/>
                <w:color w:val="000000"/>
                <w:lang w:eastAsia="en-GB"/>
              </w:rPr>
            </w:pPr>
            <w:r w:rsidRPr="00903F84">
              <w:rPr>
                <w:rFonts w:ascii="Arial" w:hAnsi="Arial" w:cs="Arial"/>
                <w:color w:val="000000"/>
                <w:sz w:val="22"/>
                <w:szCs w:val="22"/>
                <w:lang w:eastAsia="en-GB"/>
              </w:rPr>
              <w:t>New payment mechanism for practices who continue to vaccinate</w:t>
            </w:r>
          </w:p>
        </w:tc>
        <w:tc>
          <w:tcPr>
            <w:tcW w:w="1580" w:type="dxa"/>
            <w:tcBorders>
              <w:top w:val="nil"/>
              <w:left w:val="nil"/>
              <w:bottom w:val="single" w:sz="4" w:space="0" w:color="auto"/>
              <w:right w:val="single" w:sz="4" w:space="0" w:color="auto"/>
            </w:tcBorders>
            <w:shd w:val="clear" w:color="000000" w:fill="FFFFFF"/>
            <w:noWrap/>
            <w:vAlign w:val="center"/>
            <w:hideMark/>
          </w:tcPr>
          <w:p w:rsidR="00903F84" w:rsidRPr="00903F84" w:rsidRDefault="00903F84" w:rsidP="00903F84">
            <w:pPr>
              <w:jc w:val="center"/>
              <w:rPr>
                <w:rFonts w:ascii="Arial" w:hAnsi="Arial" w:cs="Arial"/>
                <w:color w:val="000000"/>
                <w:lang w:eastAsia="en-GB"/>
              </w:rPr>
            </w:pPr>
            <w:r w:rsidRPr="00903F84">
              <w:rPr>
                <w:rFonts w:ascii="Arial" w:hAnsi="Arial" w:cs="Arial"/>
                <w:color w:val="000000"/>
                <w:sz w:val="22"/>
                <w:szCs w:val="22"/>
                <w:lang w:eastAsia="en-GB"/>
              </w:rPr>
              <w:t>01/04/2022</w:t>
            </w:r>
          </w:p>
        </w:tc>
      </w:tr>
      <w:tr w:rsidR="00903F84" w:rsidRPr="00903F84" w:rsidTr="00903F84">
        <w:trPr>
          <w:trHeight w:val="276"/>
          <w:jc w:val="center"/>
        </w:trPr>
        <w:tc>
          <w:tcPr>
            <w:tcW w:w="2080" w:type="dxa"/>
            <w:tcBorders>
              <w:top w:val="nil"/>
              <w:left w:val="nil"/>
              <w:bottom w:val="nil"/>
              <w:right w:val="nil"/>
            </w:tcBorders>
            <w:shd w:val="clear" w:color="000000" w:fill="FFFFFF"/>
            <w:noWrap/>
            <w:vAlign w:val="bottom"/>
            <w:hideMark/>
          </w:tcPr>
          <w:p w:rsidR="00903F84" w:rsidRPr="00903F84" w:rsidRDefault="00903F84" w:rsidP="00903F84">
            <w:pPr>
              <w:jc w:val="center"/>
              <w:rPr>
                <w:rFonts w:ascii="Arial" w:hAnsi="Arial" w:cs="Arial"/>
                <w:color w:val="000000"/>
                <w:lang w:eastAsia="en-GB"/>
              </w:rPr>
            </w:pPr>
            <w:r w:rsidRPr="00903F84">
              <w:rPr>
                <w:rFonts w:ascii="Arial" w:hAnsi="Arial" w:cs="Arial"/>
                <w:color w:val="000000"/>
                <w:sz w:val="22"/>
                <w:szCs w:val="22"/>
                <w:lang w:eastAsia="en-GB"/>
              </w:rPr>
              <w:t> </w:t>
            </w:r>
          </w:p>
        </w:tc>
        <w:tc>
          <w:tcPr>
            <w:tcW w:w="4060" w:type="dxa"/>
            <w:tcBorders>
              <w:top w:val="nil"/>
              <w:left w:val="nil"/>
              <w:bottom w:val="nil"/>
              <w:right w:val="nil"/>
            </w:tcBorders>
            <w:shd w:val="clear" w:color="000000" w:fill="FFFFFF"/>
            <w:noWrap/>
            <w:vAlign w:val="center"/>
            <w:hideMark/>
          </w:tcPr>
          <w:p w:rsidR="00903F84" w:rsidRPr="00903F84" w:rsidRDefault="00903F84" w:rsidP="00903F84">
            <w:pPr>
              <w:rPr>
                <w:rFonts w:ascii="Arial" w:hAnsi="Arial" w:cs="Arial"/>
                <w:color w:val="000000"/>
                <w:lang w:eastAsia="en-GB"/>
              </w:rPr>
            </w:pPr>
            <w:r w:rsidRPr="00903F84">
              <w:rPr>
                <w:rFonts w:ascii="Arial" w:hAnsi="Arial" w:cs="Arial"/>
                <w:color w:val="000000"/>
                <w:sz w:val="22"/>
                <w:szCs w:val="22"/>
                <w:lang w:eastAsia="en-GB"/>
              </w:rPr>
              <w:t> </w:t>
            </w:r>
          </w:p>
        </w:tc>
        <w:tc>
          <w:tcPr>
            <w:tcW w:w="1580" w:type="dxa"/>
            <w:tcBorders>
              <w:top w:val="nil"/>
              <w:left w:val="nil"/>
              <w:bottom w:val="nil"/>
              <w:right w:val="nil"/>
            </w:tcBorders>
            <w:shd w:val="clear" w:color="000000" w:fill="FFFFFF"/>
            <w:noWrap/>
            <w:vAlign w:val="center"/>
            <w:hideMark/>
          </w:tcPr>
          <w:p w:rsidR="00903F84" w:rsidRPr="00903F84" w:rsidRDefault="00903F84" w:rsidP="00903F84">
            <w:pPr>
              <w:jc w:val="center"/>
              <w:rPr>
                <w:rFonts w:ascii="Arial" w:hAnsi="Arial" w:cs="Arial"/>
                <w:color w:val="000000"/>
                <w:lang w:eastAsia="en-GB"/>
              </w:rPr>
            </w:pPr>
            <w:r w:rsidRPr="00903F84">
              <w:rPr>
                <w:rFonts w:ascii="Arial" w:hAnsi="Arial" w:cs="Arial"/>
                <w:color w:val="000000"/>
                <w:sz w:val="22"/>
                <w:szCs w:val="22"/>
                <w:lang w:eastAsia="en-GB"/>
              </w:rPr>
              <w:t> </w:t>
            </w:r>
          </w:p>
        </w:tc>
      </w:tr>
      <w:tr w:rsidR="00903F84" w:rsidRPr="00903F84" w:rsidTr="00903F84">
        <w:trPr>
          <w:trHeight w:val="552"/>
          <w:jc w:val="center"/>
        </w:trPr>
        <w:tc>
          <w:tcPr>
            <w:tcW w:w="20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03F84" w:rsidRPr="00903F84" w:rsidRDefault="00903F84" w:rsidP="00903F84">
            <w:pPr>
              <w:jc w:val="center"/>
              <w:rPr>
                <w:rFonts w:ascii="Arial" w:hAnsi="Arial" w:cs="Arial"/>
                <w:color w:val="000000"/>
                <w:lang w:eastAsia="en-GB"/>
              </w:rPr>
            </w:pPr>
            <w:r w:rsidRPr="00903F84">
              <w:rPr>
                <w:rFonts w:ascii="Arial" w:hAnsi="Arial" w:cs="Arial"/>
                <w:color w:val="000000"/>
                <w:sz w:val="22"/>
                <w:szCs w:val="22"/>
                <w:lang w:eastAsia="en-GB"/>
              </w:rPr>
              <w:t>Pharmacotherapy</w:t>
            </w:r>
          </w:p>
        </w:tc>
        <w:tc>
          <w:tcPr>
            <w:tcW w:w="4060" w:type="dxa"/>
            <w:tcBorders>
              <w:top w:val="single" w:sz="4" w:space="0" w:color="auto"/>
              <w:left w:val="nil"/>
              <w:bottom w:val="single" w:sz="4" w:space="0" w:color="auto"/>
              <w:right w:val="single" w:sz="4" w:space="0" w:color="auto"/>
            </w:tcBorders>
            <w:shd w:val="clear" w:color="000000" w:fill="FFFFFF"/>
            <w:vAlign w:val="center"/>
            <w:hideMark/>
          </w:tcPr>
          <w:p w:rsidR="00903F84" w:rsidRPr="00903F84" w:rsidRDefault="00903F84" w:rsidP="00903F84">
            <w:pPr>
              <w:rPr>
                <w:rFonts w:ascii="Arial" w:hAnsi="Arial" w:cs="Arial"/>
                <w:color w:val="000000"/>
                <w:lang w:eastAsia="en-GB"/>
              </w:rPr>
            </w:pPr>
            <w:r w:rsidRPr="00903F84">
              <w:rPr>
                <w:rFonts w:ascii="Arial" w:hAnsi="Arial" w:cs="Arial"/>
                <w:color w:val="000000"/>
                <w:sz w:val="22"/>
                <w:szCs w:val="22"/>
                <w:lang w:eastAsia="en-GB"/>
              </w:rPr>
              <w:t>NHS Boards responsible for Level 1 service to all GP Practices</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903F84" w:rsidRPr="00903F84" w:rsidRDefault="00903F84" w:rsidP="00903F84">
            <w:pPr>
              <w:jc w:val="center"/>
              <w:rPr>
                <w:rFonts w:ascii="Arial" w:hAnsi="Arial" w:cs="Arial"/>
                <w:color w:val="000000"/>
                <w:lang w:eastAsia="en-GB"/>
              </w:rPr>
            </w:pPr>
            <w:r w:rsidRPr="00903F84">
              <w:rPr>
                <w:rFonts w:ascii="Arial" w:hAnsi="Arial" w:cs="Arial"/>
                <w:color w:val="000000"/>
                <w:sz w:val="22"/>
                <w:szCs w:val="22"/>
                <w:lang w:eastAsia="en-GB"/>
              </w:rPr>
              <w:t>01/04/2022</w:t>
            </w:r>
          </w:p>
        </w:tc>
      </w:tr>
      <w:tr w:rsidR="00903F84" w:rsidRPr="00903F84" w:rsidTr="00903F84">
        <w:trPr>
          <w:trHeight w:val="552"/>
          <w:jc w:val="center"/>
        </w:trPr>
        <w:tc>
          <w:tcPr>
            <w:tcW w:w="2080" w:type="dxa"/>
            <w:vMerge/>
            <w:tcBorders>
              <w:top w:val="single" w:sz="4" w:space="0" w:color="auto"/>
              <w:left w:val="single" w:sz="4" w:space="0" w:color="auto"/>
              <w:bottom w:val="single" w:sz="4" w:space="0" w:color="000000"/>
              <w:right w:val="single" w:sz="4" w:space="0" w:color="auto"/>
            </w:tcBorders>
            <w:vAlign w:val="center"/>
            <w:hideMark/>
          </w:tcPr>
          <w:p w:rsidR="00903F84" w:rsidRPr="00903F84" w:rsidRDefault="00903F84" w:rsidP="00903F84">
            <w:pPr>
              <w:rPr>
                <w:rFonts w:ascii="Arial" w:hAnsi="Arial" w:cs="Arial"/>
                <w:color w:val="000000"/>
                <w:lang w:eastAsia="en-GB"/>
              </w:rPr>
            </w:pPr>
          </w:p>
        </w:tc>
        <w:tc>
          <w:tcPr>
            <w:tcW w:w="4060" w:type="dxa"/>
            <w:tcBorders>
              <w:top w:val="nil"/>
              <w:left w:val="nil"/>
              <w:bottom w:val="single" w:sz="4" w:space="0" w:color="auto"/>
              <w:right w:val="single" w:sz="4" w:space="0" w:color="auto"/>
            </w:tcBorders>
            <w:shd w:val="clear" w:color="000000" w:fill="FFFFFF"/>
            <w:vAlign w:val="center"/>
            <w:hideMark/>
          </w:tcPr>
          <w:p w:rsidR="00903F84" w:rsidRPr="00903F84" w:rsidRDefault="00903F84" w:rsidP="00903F84">
            <w:pPr>
              <w:rPr>
                <w:rFonts w:ascii="Arial" w:hAnsi="Arial" w:cs="Arial"/>
                <w:color w:val="000000"/>
                <w:lang w:eastAsia="en-GB"/>
              </w:rPr>
            </w:pPr>
            <w:r w:rsidRPr="00903F84">
              <w:rPr>
                <w:rFonts w:ascii="Arial" w:hAnsi="Arial" w:cs="Arial"/>
                <w:color w:val="000000"/>
                <w:sz w:val="22"/>
                <w:szCs w:val="22"/>
                <w:lang w:eastAsia="en-GB"/>
              </w:rPr>
              <w:t>Where service unavailable, new transitional payment made to practices</w:t>
            </w:r>
          </w:p>
        </w:tc>
        <w:tc>
          <w:tcPr>
            <w:tcW w:w="1580" w:type="dxa"/>
            <w:tcBorders>
              <w:top w:val="nil"/>
              <w:left w:val="nil"/>
              <w:bottom w:val="single" w:sz="4" w:space="0" w:color="auto"/>
              <w:right w:val="single" w:sz="4" w:space="0" w:color="auto"/>
            </w:tcBorders>
            <w:shd w:val="clear" w:color="000000" w:fill="FFFFFF"/>
            <w:noWrap/>
            <w:vAlign w:val="center"/>
            <w:hideMark/>
          </w:tcPr>
          <w:p w:rsidR="00903F84" w:rsidRPr="00903F84" w:rsidRDefault="00903F84" w:rsidP="00903F84">
            <w:pPr>
              <w:jc w:val="center"/>
              <w:rPr>
                <w:rFonts w:ascii="Arial" w:hAnsi="Arial" w:cs="Arial"/>
                <w:color w:val="000000"/>
                <w:lang w:eastAsia="en-GB"/>
              </w:rPr>
            </w:pPr>
            <w:r w:rsidRPr="00903F84">
              <w:rPr>
                <w:rFonts w:ascii="Arial" w:hAnsi="Arial" w:cs="Arial"/>
                <w:color w:val="000000"/>
                <w:sz w:val="22"/>
                <w:szCs w:val="22"/>
                <w:lang w:eastAsia="en-GB"/>
              </w:rPr>
              <w:t>01/04/2022</w:t>
            </w:r>
          </w:p>
        </w:tc>
      </w:tr>
      <w:tr w:rsidR="00903F84" w:rsidRPr="00903F84" w:rsidTr="00903F84">
        <w:trPr>
          <w:trHeight w:val="276"/>
          <w:jc w:val="center"/>
        </w:trPr>
        <w:tc>
          <w:tcPr>
            <w:tcW w:w="2080" w:type="dxa"/>
            <w:tcBorders>
              <w:top w:val="nil"/>
              <w:left w:val="nil"/>
              <w:bottom w:val="nil"/>
              <w:right w:val="nil"/>
            </w:tcBorders>
            <w:shd w:val="clear" w:color="000000" w:fill="FFFFFF"/>
            <w:noWrap/>
            <w:vAlign w:val="bottom"/>
            <w:hideMark/>
          </w:tcPr>
          <w:p w:rsidR="00903F84" w:rsidRPr="00903F84" w:rsidRDefault="00903F84" w:rsidP="00903F84">
            <w:pPr>
              <w:jc w:val="center"/>
              <w:rPr>
                <w:rFonts w:ascii="Arial" w:hAnsi="Arial" w:cs="Arial"/>
                <w:color w:val="000000"/>
                <w:lang w:eastAsia="en-GB"/>
              </w:rPr>
            </w:pPr>
            <w:r w:rsidRPr="00903F84">
              <w:rPr>
                <w:rFonts w:ascii="Arial" w:hAnsi="Arial" w:cs="Arial"/>
                <w:color w:val="000000"/>
                <w:sz w:val="22"/>
                <w:szCs w:val="22"/>
                <w:lang w:eastAsia="en-GB"/>
              </w:rPr>
              <w:t> </w:t>
            </w:r>
          </w:p>
        </w:tc>
        <w:tc>
          <w:tcPr>
            <w:tcW w:w="4060" w:type="dxa"/>
            <w:tcBorders>
              <w:top w:val="nil"/>
              <w:left w:val="nil"/>
              <w:bottom w:val="nil"/>
              <w:right w:val="nil"/>
            </w:tcBorders>
            <w:shd w:val="clear" w:color="000000" w:fill="FFFFFF"/>
            <w:noWrap/>
            <w:vAlign w:val="center"/>
            <w:hideMark/>
          </w:tcPr>
          <w:p w:rsidR="00903F84" w:rsidRPr="00903F84" w:rsidRDefault="00903F84" w:rsidP="00903F84">
            <w:pPr>
              <w:rPr>
                <w:rFonts w:ascii="Arial" w:hAnsi="Arial" w:cs="Arial"/>
                <w:color w:val="000000"/>
                <w:lang w:eastAsia="en-GB"/>
              </w:rPr>
            </w:pPr>
            <w:r w:rsidRPr="00903F84">
              <w:rPr>
                <w:rFonts w:ascii="Arial" w:hAnsi="Arial" w:cs="Arial"/>
                <w:color w:val="000000"/>
                <w:sz w:val="22"/>
                <w:szCs w:val="22"/>
                <w:lang w:eastAsia="en-GB"/>
              </w:rPr>
              <w:t> </w:t>
            </w:r>
          </w:p>
        </w:tc>
        <w:tc>
          <w:tcPr>
            <w:tcW w:w="1580" w:type="dxa"/>
            <w:tcBorders>
              <w:top w:val="nil"/>
              <w:left w:val="nil"/>
              <w:bottom w:val="nil"/>
              <w:right w:val="nil"/>
            </w:tcBorders>
            <w:shd w:val="clear" w:color="000000" w:fill="FFFFFF"/>
            <w:noWrap/>
            <w:vAlign w:val="center"/>
            <w:hideMark/>
          </w:tcPr>
          <w:p w:rsidR="00903F84" w:rsidRPr="00903F84" w:rsidRDefault="00903F84" w:rsidP="00903F84">
            <w:pPr>
              <w:jc w:val="center"/>
              <w:rPr>
                <w:rFonts w:ascii="Arial" w:hAnsi="Arial" w:cs="Arial"/>
                <w:color w:val="000000"/>
                <w:lang w:eastAsia="en-GB"/>
              </w:rPr>
            </w:pPr>
            <w:r w:rsidRPr="00903F84">
              <w:rPr>
                <w:rFonts w:ascii="Arial" w:hAnsi="Arial" w:cs="Arial"/>
                <w:color w:val="000000"/>
                <w:sz w:val="22"/>
                <w:szCs w:val="22"/>
                <w:lang w:eastAsia="en-GB"/>
              </w:rPr>
              <w:t> </w:t>
            </w:r>
          </w:p>
        </w:tc>
      </w:tr>
      <w:tr w:rsidR="00903F84" w:rsidRPr="00903F84" w:rsidTr="00903F84">
        <w:trPr>
          <w:trHeight w:val="552"/>
          <w:jc w:val="center"/>
        </w:trPr>
        <w:tc>
          <w:tcPr>
            <w:tcW w:w="20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03F84" w:rsidRPr="00903F84" w:rsidRDefault="00903F84" w:rsidP="00903F84">
            <w:pPr>
              <w:jc w:val="center"/>
              <w:rPr>
                <w:rFonts w:ascii="Arial" w:hAnsi="Arial" w:cs="Arial"/>
                <w:color w:val="000000"/>
                <w:lang w:eastAsia="en-GB"/>
              </w:rPr>
            </w:pPr>
            <w:r w:rsidRPr="00903F84">
              <w:rPr>
                <w:rFonts w:ascii="Arial" w:hAnsi="Arial" w:cs="Arial"/>
                <w:color w:val="000000"/>
                <w:sz w:val="22"/>
                <w:szCs w:val="22"/>
                <w:lang w:eastAsia="en-GB"/>
              </w:rPr>
              <w:t>CTCS</w:t>
            </w:r>
          </w:p>
        </w:tc>
        <w:tc>
          <w:tcPr>
            <w:tcW w:w="4060" w:type="dxa"/>
            <w:tcBorders>
              <w:top w:val="single" w:sz="4" w:space="0" w:color="auto"/>
              <w:left w:val="nil"/>
              <w:bottom w:val="single" w:sz="4" w:space="0" w:color="auto"/>
              <w:right w:val="single" w:sz="4" w:space="0" w:color="auto"/>
            </w:tcBorders>
            <w:shd w:val="clear" w:color="000000" w:fill="FFFFFF"/>
            <w:vAlign w:val="center"/>
            <w:hideMark/>
          </w:tcPr>
          <w:p w:rsidR="00903F84" w:rsidRPr="00903F84" w:rsidRDefault="00903F84" w:rsidP="00903F84">
            <w:pPr>
              <w:rPr>
                <w:rFonts w:ascii="Arial" w:hAnsi="Arial" w:cs="Arial"/>
                <w:color w:val="000000"/>
                <w:lang w:eastAsia="en-GB"/>
              </w:rPr>
            </w:pPr>
            <w:r w:rsidRPr="00903F84">
              <w:rPr>
                <w:rFonts w:ascii="Arial" w:hAnsi="Arial" w:cs="Arial"/>
                <w:color w:val="000000"/>
                <w:sz w:val="22"/>
                <w:szCs w:val="22"/>
                <w:lang w:eastAsia="en-GB"/>
              </w:rPr>
              <w:t>Boards are responsible for providing a community treatment and care service</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903F84" w:rsidRPr="00903F84" w:rsidRDefault="00903F84" w:rsidP="00903F84">
            <w:pPr>
              <w:jc w:val="center"/>
              <w:rPr>
                <w:rFonts w:ascii="Arial" w:hAnsi="Arial" w:cs="Arial"/>
                <w:color w:val="000000"/>
                <w:lang w:eastAsia="en-GB"/>
              </w:rPr>
            </w:pPr>
            <w:r w:rsidRPr="00903F84">
              <w:rPr>
                <w:rFonts w:ascii="Arial" w:hAnsi="Arial" w:cs="Arial"/>
                <w:color w:val="000000"/>
                <w:sz w:val="22"/>
                <w:szCs w:val="22"/>
                <w:lang w:eastAsia="en-GB"/>
              </w:rPr>
              <w:t>01/04/2022</w:t>
            </w:r>
          </w:p>
        </w:tc>
      </w:tr>
      <w:tr w:rsidR="00903F84" w:rsidRPr="00903F84" w:rsidTr="00903F84">
        <w:trPr>
          <w:trHeight w:val="552"/>
          <w:jc w:val="center"/>
        </w:trPr>
        <w:tc>
          <w:tcPr>
            <w:tcW w:w="2080" w:type="dxa"/>
            <w:vMerge/>
            <w:tcBorders>
              <w:top w:val="single" w:sz="4" w:space="0" w:color="auto"/>
              <w:left w:val="single" w:sz="4" w:space="0" w:color="auto"/>
              <w:bottom w:val="single" w:sz="4" w:space="0" w:color="000000"/>
              <w:right w:val="single" w:sz="4" w:space="0" w:color="auto"/>
            </w:tcBorders>
            <w:vAlign w:val="center"/>
            <w:hideMark/>
          </w:tcPr>
          <w:p w:rsidR="00903F84" w:rsidRPr="00903F84" w:rsidRDefault="00903F84" w:rsidP="00903F84">
            <w:pPr>
              <w:rPr>
                <w:rFonts w:ascii="Arial" w:hAnsi="Arial" w:cs="Arial"/>
                <w:color w:val="000000"/>
                <w:lang w:eastAsia="en-GB"/>
              </w:rPr>
            </w:pPr>
          </w:p>
        </w:tc>
        <w:tc>
          <w:tcPr>
            <w:tcW w:w="4060" w:type="dxa"/>
            <w:tcBorders>
              <w:top w:val="nil"/>
              <w:left w:val="nil"/>
              <w:bottom w:val="single" w:sz="4" w:space="0" w:color="auto"/>
              <w:right w:val="single" w:sz="4" w:space="0" w:color="auto"/>
            </w:tcBorders>
            <w:shd w:val="clear" w:color="000000" w:fill="FFFFFF"/>
            <w:vAlign w:val="center"/>
            <w:hideMark/>
          </w:tcPr>
          <w:p w:rsidR="00903F84" w:rsidRPr="00903F84" w:rsidRDefault="00903F84" w:rsidP="00903F84">
            <w:pPr>
              <w:rPr>
                <w:rFonts w:ascii="Arial" w:hAnsi="Arial" w:cs="Arial"/>
                <w:color w:val="000000"/>
                <w:lang w:eastAsia="en-GB"/>
              </w:rPr>
            </w:pPr>
            <w:r w:rsidRPr="00903F84">
              <w:rPr>
                <w:rFonts w:ascii="Arial" w:hAnsi="Arial" w:cs="Arial"/>
                <w:color w:val="000000"/>
                <w:sz w:val="22"/>
                <w:szCs w:val="22"/>
                <w:lang w:eastAsia="en-GB"/>
              </w:rPr>
              <w:t>Where service unavailable, new transitional payment made to practices</w:t>
            </w:r>
          </w:p>
        </w:tc>
        <w:tc>
          <w:tcPr>
            <w:tcW w:w="1580" w:type="dxa"/>
            <w:tcBorders>
              <w:top w:val="nil"/>
              <w:left w:val="nil"/>
              <w:bottom w:val="single" w:sz="4" w:space="0" w:color="auto"/>
              <w:right w:val="single" w:sz="4" w:space="0" w:color="auto"/>
            </w:tcBorders>
            <w:shd w:val="clear" w:color="000000" w:fill="FFFFFF"/>
            <w:noWrap/>
            <w:vAlign w:val="center"/>
            <w:hideMark/>
          </w:tcPr>
          <w:p w:rsidR="00903F84" w:rsidRPr="00903F84" w:rsidRDefault="00903F84" w:rsidP="00903F84">
            <w:pPr>
              <w:jc w:val="center"/>
              <w:rPr>
                <w:rFonts w:ascii="Arial" w:hAnsi="Arial" w:cs="Arial"/>
                <w:color w:val="000000"/>
                <w:lang w:eastAsia="en-GB"/>
              </w:rPr>
            </w:pPr>
            <w:r w:rsidRPr="00903F84">
              <w:rPr>
                <w:rFonts w:ascii="Arial" w:hAnsi="Arial" w:cs="Arial"/>
                <w:color w:val="000000"/>
                <w:sz w:val="22"/>
                <w:szCs w:val="22"/>
                <w:lang w:eastAsia="en-GB"/>
              </w:rPr>
              <w:t>01/04/2022</w:t>
            </w:r>
          </w:p>
        </w:tc>
      </w:tr>
      <w:tr w:rsidR="00903F84" w:rsidRPr="00903F84" w:rsidTr="00903F84">
        <w:trPr>
          <w:trHeight w:val="276"/>
          <w:jc w:val="center"/>
        </w:trPr>
        <w:tc>
          <w:tcPr>
            <w:tcW w:w="2080" w:type="dxa"/>
            <w:tcBorders>
              <w:top w:val="nil"/>
              <w:left w:val="nil"/>
              <w:bottom w:val="nil"/>
              <w:right w:val="nil"/>
            </w:tcBorders>
            <w:shd w:val="clear" w:color="000000" w:fill="FFFFFF"/>
            <w:noWrap/>
            <w:vAlign w:val="bottom"/>
            <w:hideMark/>
          </w:tcPr>
          <w:p w:rsidR="00903F84" w:rsidRPr="00903F84" w:rsidRDefault="00903F84" w:rsidP="00903F84">
            <w:pPr>
              <w:rPr>
                <w:rFonts w:ascii="Arial" w:hAnsi="Arial" w:cs="Arial"/>
                <w:color w:val="000000"/>
                <w:lang w:eastAsia="en-GB"/>
              </w:rPr>
            </w:pPr>
            <w:r w:rsidRPr="00903F84">
              <w:rPr>
                <w:rFonts w:ascii="Arial" w:hAnsi="Arial" w:cs="Arial"/>
                <w:color w:val="000000"/>
                <w:sz w:val="22"/>
                <w:szCs w:val="22"/>
                <w:lang w:eastAsia="en-GB"/>
              </w:rPr>
              <w:t> </w:t>
            </w:r>
          </w:p>
        </w:tc>
        <w:tc>
          <w:tcPr>
            <w:tcW w:w="4060" w:type="dxa"/>
            <w:tcBorders>
              <w:top w:val="nil"/>
              <w:left w:val="nil"/>
              <w:bottom w:val="nil"/>
              <w:right w:val="nil"/>
            </w:tcBorders>
            <w:shd w:val="clear" w:color="000000" w:fill="FFFFFF"/>
            <w:noWrap/>
            <w:vAlign w:val="center"/>
            <w:hideMark/>
          </w:tcPr>
          <w:p w:rsidR="00903F84" w:rsidRPr="00903F84" w:rsidRDefault="00903F84" w:rsidP="00903F84">
            <w:pPr>
              <w:rPr>
                <w:rFonts w:ascii="Arial" w:hAnsi="Arial" w:cs="Arial"/>
                <w:color w:val="000000"/>
                <w:lang w:eastAsia="en-GB"/>
              </w:rPr>
            </w:pPr>
            <w:r w:rsidRPr="00903F84">
              <w:rPr>
                <w:rFonts w:ascii="Arial" w:hAnsi="Arial" w:cs="Arial"/>
                <w:color w:val="000000"/>
                <w:sz w:val="22"/>
                <w:szCs w:val="22"/>
                <w:lang w:eastAsia="en-GB"/>
              </w:rPr>
              <w:t> </w:t>
            </w:r>
          </w:p>
        </w:tc>
        <w:tc>
          <w:tcPr>
            <w:tcW w:w="1580" w:type="dxa"/>
            <w:tcBorders>
              <w:top w:val="nil"/>
              <w:left w:val="nil"/>
              <w:bottom w:val="nil"/>
              <w:right w:val="nil"/>
            </w:tcBorders>
            <w:shd w:val="clear" w:color="000000" w:fill="FFFFFF"/>
            <w:noWrap/>
            <w:vAlign w:val="center"/>
            <w:hideMark/>
          </w:tcPr>
          <w:p w:rsidR="00903F84" w:rsidRPr="00903F84" w:rsidRDefault="00903F84" w:rsidP="00903F84">
            <w:pPr>
              <w:jc w:val="center"/>
              <w:rPr>
                <w:rFonts w:ascii="Arial" w:hAnsi="Arial" w:cs="Arial"/>
                <w:color w:val="000000"/>
                <w:lang w:eastAsia="en-GB"/>
              </w:rPr>
            </w:pPr>
            <w:r w:rsidRPr="00903F84">
              <w:rPr>
                <w:rFonts w:ascii="Arial" w:hAnsi="Arial" w:cs="Arial"/>
                <w:color w:val="000000"/>
                <w:sz w:val="22"/>
                <w:szCs w:val="22"/>
                <w:lang w:eastAsia="en-GB"/>
              </w:rPr>
              <w:t> </w:t>
            </w:r>
          </w:p>
        </w:tc>
      </w:tr>
      <w:tr w:rsidR="00903F84" w:rsidRPr="00903F84" w:rsidTr="00903F84">
        <w:trPr>
          <w:trHeight w:val="552"/>
          <w:jc w:val="center"/>
        </w:trPr>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3F84" w:rsidRPr="00903F84" w:rsidRDefault="00903F84" w:rsidP="00903F84">
            <w:pPr>
              <w:jc w:val="center"/>
              <w:rPr>
                <w:rFonts w:ascii="Arial" w:hAnsi="Arial" w:cs="Arial"/>
                <w:color w:val="000000"/>
                <w:lang w:eastAsia="en-GB"/>
              </w:rPr>
            </w:pPr>
            <w:r w:rsidRPr="00903F84">
              <w:rPr>
                <w:rFonts w:ascii="Arial" w:hAnsi="Arial" w:cs="Arial"/>
                <w:color w:val="000000"/>
                <w:sz w:val="22"/>
                <w:szCs w:val="22"/>
                <w:lang w:eastAsia="en-GB"/>
              </w:rPr>
              <w:t>Urgent Care</w:t>
            </w:r>
          </w:p>
        </w:tc>
        <w:tc>
          <w:tcPr>
            <w:tcW w:w="4060" w:type="dxa"/>
            <w:tcBorders>
              <w:top w:val="single" w:sz="4" w:space="0" w:color="auto"/>
              <w:left w:val="nil"/>
              <w:bottom w:val="single" w:sz="4" w:space="0" w:color="auto"/>
              <w:right w:val="single" w:sz="4" w:space="0" w:color="auto"/>
            </w:tcBorders>
            <w:shd w:val="clear" w:color="000000" w:fill="FFFFFF"/>
            <w:vAlign w:val="center"/>
            <w:hideMark/>
          </w:tcPr>
          <w:p w:rsidR="00903F84" w:rsidRPr="00903F84" w:rsidRDefault="00903F84" w:rsidP="00903F84">
            <w:pPr>
              <w:rPr>
                <w:rFonts w:ascii="Arial" w:hAnsi="Arial" w:cs="Arial"/>
                <w:color w:val="000000"/>
                <w:lang w:eastAsia="en-GB"/>
              </w:rPr>
            </w:pPr>
            <w:r w:rsidRPr="00903F84">
              <w:rPr>
                <w:rFonts w:ascii="Arial" w:hAnsi="Arial" w:cs="Arial"/>
                <w:color w:val="000000"/>
                <w:sz w:val="22"/>
                <w:szCs w:val="22"/>
                <w:lang w:eastAsia="en-GB"/>
              </w:rPr>
              <w:t>Boards are responsible for providing an Urgent Care service to practices</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903F84" w:rsidRPr="00903F84" w:rsidRDefault="00903F84" w:rsidP="00903F84">
            <w:pPr>
              <w:jc w:val="center"/>
              <w:rPr>
                <w:rFonts w:ascii="Arial" w:hAnsi="Arial" w:cs="Arial"/>
                <w:color w:val="000000"/>
                <w:lang w:eastAsia="en-GB"/>
              </w:rPr>
            </w:pPr>
            <w:r w:rsidRPr="00903F84">
              <w:rPr>
                <w:rFonts w:ascii="Arial" w:hAnsi="Arial" w:cs="Arial"/>
                <w:color w:val="000000"/>
                <w:sz w:val="22"/>
                <w:szCs w:val="22"/>
                <w:lang w:eastAsia="en-GB"/>
              </w:rPr>
              <w:t>01/04/2023</w:t>
            </w:r>
          </w:p>
        </w:tc>
      </w:tr>
      <w:tr w:rsidR="00903F84" w:rsidRPr="00903F84" w:rsidTr="00903F84">
        <w:trPr>
          <w:trHeight w:val="276"/>
          <w:jc w:val="center"/>
        </w:trPr>
        <w:tc>
          <w:tcPr>
            <w:tcW w:w="2080" w:type="dxa"/>
            <w:tcBorders>
              <w:top w:val="nil"/>
              <w:left w:val="nil"/>
              <w:bottom w:val="nil"/>
              <w:right w:val="nil"/>
            </w:tcBorders>
            <w:shd w:val="clear" w:color="000000" w:fill="FFFFFF"/>
            <w:noWrap/>
            <w:vAlign w:val="center"/>
            <w:hideMark/>
          </w:tcPr>
          <w:p w:rsidR="00903F84" w:rsidRPr="00903F84" w:rsidRDefault="00903F84" w:rsidP="00903F84">
            <w:pPr>
              <w:rPr>
                <w:rFonts w:ascii="Arial" w:hAnsi="Arial" w:cs="Arial"/>
                <w:color w:val="000000"/>
                <w:lang w:eastAsia="en-GB"/>
              </w:rPr>
            </w:pPr>
            <w:r w:rsidRPr="00903F84">
              <w:rPr>
                <w:rFonts w:ascii="Arial" w:hAnsi="Arial" w:cs="Arial"/>
                <w:color w:val="000000"/>
                <w:sz w:val="22"/>
                <w:szCs w:val="22"/>
                <w:lang w:eastAsia="en-GB"/>
              </w:rPr>
              <w:t> </w:t>
            </w:r>
          </w:p>
        </w:tc>
        <w:tc>
          <w:tcPr>
            <w:tcW w:w="4060" w:type="dxa"/>
            <w:tcBorders>
              <w:top w:val="nil"/>
              <w:left w:val="nil"/>
              <w:bottom w:val="nil"/>
              <w:right w:val="nil"/>
            </w:tcBorders>
            <w:shd w:val="clear" w:color="000000" w:fill="FFFFFF"/>
            <w:noWrap/>
            <w:vAlign w:val="center"/>
            <w:hideMark/>
          </w:tcPr>
          <w:p w:rsidR="00903F84" w:rsidRPr="00903F84" w:rsidRDefault="00903F84" w:rsidP="00903F84">
            <w:pPr>
              <w:rPr>
                <w:rFonts w:ascii="Arial" w:hAnsi="Arial" w:cs="Arial"/>
                <w:color w:val="000000"/>
                <w:lang w:eastAsia="en-GB"/>
              </w:rPr>
            </w:pPr>
            <w:r w:rsidRPr="00903F84">
              <w:rPr>
                <w:rFonts w:ascii="Arial" w:hAnsi="Arial" w:cs="Arial"/>
                <w:color w:val="000000"/>
                <w:sz w:val="22"/>
                <w:szCs w:val="22"/>
                <w:lang w:eastAsia="en-GB"/>
              </w:rPr>
              <w:t> </w:t>
            </w:r>
          </w:p>
        </w:tc>
        <w:tc>
          <w:tcPr>
            <w:tcW w:w="1580" w:type="dxa"/>
            <w:tcBorders>
              <w:top w:val="nil"/>
              <w:left w:val="nil"/>
              <w:bottom w:val="nil"/>
              <w:right w:val="nil"/>
            </w:tcBorders>
            <w:shd w:val="clear" w:color="000000" w:fill="FFFFFF"/>
            <w:noWrap/>
            <w:vAlign w:val="center"/>
            <w:hideMark/>
          </w:tcPr>
          <w:p w:rsidR="00903F84" w:rsidRPr="00903F84" w:rsidRDefault="00903F84" w:rsidP="00903F84">
            <w:pPr>
              <w:jc w:val="center"/>
              <w:rPr>
                <w:rFonts w:ascii="Arial" w:hAnsi="Arial" w:cs="Arial"/>
                <w:color w:val="000000"/>
                <w:lang w:eastAsia="en-GB"/>
              </w:rPr>
            </w:pPr>
            <w:r w:rsidRPr="00903F84">
              <w:rPr>
                <w:rFonts w:ascii="Arial" w:hAnsi="Arial" w:cs="Arial"/>
                <w:color w:val="000000"/>
                <w:sz w:val="22"/>
                <w:szCs w:val="22"/>
                <w:lang w:eastAsia="en-GB"/>
              </w:rPr>
              <w:t> </w:t>
            </w:r>
          </w:p>
        </w:tc>
      </w:tr>
      <w:tr w:rsidR="00903F84" w:rsidRPr="00903F84" w:rsidTr="00903F84">
        <w:trPr>
          <w:trHeight w:val="1380"/>
          <w:jc w:val="center"/>
        </w:trPr>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3F84" w:rsidRPr="00903F84" w:rsidRDefault="00903F84" w:rsidP="00903F84">
            <w:pPr>
              <w:jc w:val="center"/>
              <w:rPr>
                <w:rFonts w:ascii="Arial" w:hAnsi="Arial" w:cs="Arial"/>
                <w:color w:val="000000"/>
                <w:lang w:eastAsia="en-GB"/>
              </w:rPr>
            </w:pPr>
            <w:r w:rsidRPr="00903F84">
              <w:rPr>
                <w:rFonts w:ascii="Arial" w:hAnsi="Arial" w:cs="Arial"/>
                <w:color w:val="000000"/>
                <w:sz w:val="22"/>
                <w:szCs w:val="22"/>
                <w:lang w:eastAsia="en-GB"/>
              </w:rPr>
              <w:t>Additional Professional Roles</w:t>
            </w:r>
          </w:p>
        </w:tc>
        <w:tc>
          <w:tcPr>
            <w:tcW w:w="4060" w:type="dxa"/>
            <w:tcBorders>
              <w:top w:val="single" w:sz="4" w:space="0" w:color="auto"/>
              <w:left w:val="nil"/>
              <w:bottom w:val="single" w:sz="4" w:space="0" w:color="auto"/>
              <w:right w:val="single" w:sz="4" w:space="0" w:color="auto"/>
            </w:tcBorders>
            <w:shd w:val="clear" w:color="000000" w:fill="FFFFFF"/>
            <w:vAlign w:val="center"/>
            <w:hideMark/>
          </w:tcPr>
          <w:p w:rsidR="00903F84" w:rsidRPr="00903F84" w:rsidRDefault="00903F84" w:rsidP="00903F84">
            <w:pPr>
              <w:rPr>
                <w:rFonts w:ascii="Arial" w:hAnsi="Arial" w:cs="Arial"/>
                <w:color w:val="000000"/>
                <w:lang w:eastAsia="en-GB"/>
              </w:rPr>
            </w:pPr>
            <w:r w:rsidRPr="00903F84">
              <w:rPr>
                <w:rFonts w:ascii="Arial" w:hAnsi="Arial" w:cs="Arial"/>
                <w:color w:val="000000"/>
                <w:sz w:val="22"/>
                <w:szCs w:val="22"/>
                <w:lang w:eastAsia="en-GB"/>
              </w:rPr>
              <w:t>Determination of the level of mental health worker, physiotherapist and community link worker service that practices should expect will be developed</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903F84" w:rsidRPr="00903F84" w:rsidRDefault="00903F84" w:rsidP="00903F84">
            <w:pPr>
              <w:jc w:val="center"/>
              <w:rPr>
                <w:rFonts w:ascii="Arial" w:hAnsi="Arial" w:cs="Arial"/>
                <w:color w:val="000000"/>
                <w:lang w:eastAsia="en-GB"/>
              </w:rPr>
            </w:pPr>
            <w:r w:rsidRPr="00903F84">
              <w:rPr>
                <w:rFonts w:ascii="Arial" w:hAnsi="Arial" w:cs="Arial"/>
                <w:color w:val="000000"/>
                <w:sz w:val="22"/>
                <w:szCs w:val="22"/>
                <w:lang w:eastAsia="en-GB"/>
              </w:rPr>
              <w:t>No agreed date yet</w:t>
            </w:r>
          </w:p>
        </w:tc>
      </w:tr>
    </w:tbl>
    <w:p w:rsidR="00903F84" w:rsidRDefault="00903F84" w:rsidP="00AF3B99">
      <w:pPr>
        <w:jc w:val="both"/>
        <w:textAlignment w:val="top"/>
        <w:rPr>
          <w:rFonts w:ascii="Arial" w:eastAsiaTheme="minorHAnsi" w:hAnsi="Arial" w:cs="Arial"/>
          <w:sz w:val="22"/>
          <w:szCs w:val="22"/>
        </w:rPr>
      </w:pPr>
    </w:p>
    <w:p w:rsidR="00903F84" w:rsidRDefault="00903F84" w:rsidP="00AF3B99">
      <w:pPr>
        <w:jc w:val="both"/>
        <w:textAlignment w:val="top"/>
        <w:rPr>
          <w:rFonts w:ascii="Arial" w:eastAsiaTheme="minorHAnsi" w:hAnsi="Arial" w:cs="Arial"/>
          <w:sz w:val="22"/>
          <w:szCs w:val="22"/>
        </w:rPr>
      </w:pPr>
    </w:p>
    <w:p w:rsidR="0048304E" w:rsidRPr="00037EC0" w:rsidRDefault="0048304E" w:rsidP="00AF3B99">
      <w:pPr>
        <w:jc w:val="both"/>
        <w:textAlignment w:val="top"/>
        <w:rPr>
          <w:rFonts w:ascii="Arial" w:eastAsiaTheme="minorHAnsi" w:hAnsi="Arial" w:cs="Arial"/>
          <w:sz w:val="22"/>
          <w:szCs w:val="22"/>
        </w:rPr>
      </w:pPr>
      <w:r w:rsidRPr="00037EC0">
        <w:rPr>
          <w:rFonts w:ascii="Arial" w:eastAsiaTheme="minorHAnsi" w:hAnsi="Arial" w:cs="Arial"/>
          <w:sz w:val="22"/>
          <w:szCs w:val="22"/>
        </w:rPr>
        <w:t>The 2018 GP Contract Offer</w:t>
      </w:r>
      <w:r w:rsidR="00DA62F6">
        <w:rPr>
          <w:rFonts w:ascii="Arial" w:eastAsiaTheme="minorHAnsi" w:hAnsi="Arial" w:cs="Arial"/>
          <w:sz w:val="22"/>
          <w:szCs w:val="22"/>
        </w:rPr>
        <w:t xml:space="preserve"> </w:t>
      </w:r>
      <w:r w:rsidRPr="00037EC0">
        <w:rPr>
          <w:rFonts w:ascii="Arial" w:eastAsiaTheme="minorHAnsi" w:hAnsi="Arial" w:cs="Arial"/>
          <w:sz w:val="22"/>
          <w:szCs w:val="22"/>
        </w:rPr>
        <w:t xml:space="preserve">was underpinned by a </w:t>
      </w:r>
      <w:r w:rsidR="00DA62F6">
        <w:rPr>
          <w:rFonts w:ascii="Arial" w:eastAsiaTheme="minorHAnsi" w:hAnsi="Arial" w:cs="Arial"/>
          <w:sz w:val="22"/>
          <w:szCs w:val="22"/>
        </w:rPr>
        <w:t>MoU</w:t>
      </w:r>
      <w:r w:rsidRPr="00037EC0">
        <w:rPr>
          <w:rFonts w:ascii="Arial" w:eastAsiaTheme="minorHAnsi" w:hAnsi="Arial" w:cs="Arial"/>
          <w:sz w:val="22"/>
          <w:szCs w:val="22"/>
        </w:rPr>
        <w:t xml:space="preserve"> which set out an agreement between Scottish Government</w:t>
      </w:r>
      <w:r w:rsidR="00DA62F6">
        <w:rPr>
          <w:rFonts w:ascii="Arial" w:eastAsiaTheme="minorHAnsi" w:hAnsi="Arial" w:cs="Arial"/>
          <w:sz w:val="22"/>
          <w:szCs w:val="22"/>
        </w:rPr>
        <w:t>, SGPC, integration authorities</w:t>
      </w:r>
      <w:r w:rsidRPr="00037EC0">
        <w:rPr>
          <w:rFonts w:ascii="Arial" w:eastAsiaTheme="minorHAnsi" w:hAnsi="Arial" w:cs="Arial"/>
          <w:sz w:val="22"/>
          <w:szCs w:val="22"/>
        </w:rPr>
        <w:t xml:space="preserve"> and Health Boards on how to implement and deliver the Contract.  </w:t>
      </w:r>
    </w:p>
    <w:p w:rsidR="0048304E" w:rsidRPr="00037EC0" w:rsidRDefault="0048304E" w:rsidP="00AF3B99">
      <w:pPr>
        <w:jc w:val="both"/>
        <w:textAlignment w:val="top"/>
        <w:rPr>
          <w:rFonts w:ascii="Arial" w:eastAsiaTheme="minorHAnsi" w:hAnsi="Arial" w:cs="Arial"/>
          <w:sz w:val="22"/>
          <w:szCs w:val="22"/>
        </w:rPr>
      </w:pPr>
    </w:p>
    <w:p w:rsidR="0048304E" w:rsidRPr="00037EC0" w:rsidRDefault="0048304E" w:rsidP="00AF3B99">
      <w:pPr>
        <w:jc w:val="both"/>
        <w:textAlignment w:val="top"/>
        <w:rPr>
          <w:rFonts w:ascii="Arial" w:eastAsiaTheme="minorHAnsi" w:hAnsi="Arial" w:cs="Arial"/>
          <w:sz w:val="22"/>
          <w:szCs w:val="22"/>
        </w:rPr>
      </w:pPr>
      <w:r w:rsidRPr="00037EC0">
        <w:rPr>
          <w:rFonts w:ascii="Arial" w:eastAsiaTheme="minorHAnsi" w:hAnsi="Arial" w:cs="Arial"/>
          <w:sz w:val="22"/>
          <w:szCs w:val="22"/>
        </w:rPr>
        <w:t>The MoU covered the period from 1 April 2018 until 31 March 2021</w:t>
      </w:r>
      <w:r w:rsidR="00DA62F6">
        <w:rPr>
          <w:rFonts w:ascii="Arial" w:eastAsiaTheme="minorHAnsi" w:hAnsi="Arial" w:cs="Arial"/>
          <w:sz w:val="22"/>
          <w:szCs w:val="22"/>
        </w:rPr>
        <w:t>,</w:t>
      </w:r>
      <w:r w:rsidRPr="00037EC0">
        <w:rPr>
          <w:rFonts w:ascii="Arial" w:eastAsiaTheme="minorHAnsi" w:hAnsi="Arial" w:cs="Arial"/>
          <w:sz w:val="22"/>
          <w:szCs w:val="22"/>
        </w:rPr>
        <w:t xml:space="preserve"> three years being the negotiated period for implementation of the Contract. Scottish Government and SGPC have since recognised that it has not been possible for full implementation to be achieved </w:t>
      </w:r>
      <w:r w:rsidR="00DA62F6">
        <w:rPr>
          <w:rFonts w:ascii="Arial" w:eastAsiaTheme="minorHAnsi" w:hAnsi="Arial" w:cs="Arial"/>
          <w:sz w:val="22"/>
          <w:szCs w:val="22"/>
        </w:rPr>
        <w:t>within</w:t>
      </w:r>
      <w:r w:rsidRPr="00037EC0">
        <w:rPr>
          <w:rFonts w:ascii="Arial" w:eastAsiaTheme="minorHAnsi" w:hAnsi="Arial" w:cs="Arial"/>
          <w:sz w:val="22"/>
          <w:szCs w:val="22"/>
        </w:rPr>
        <w:t xml:space="preserve"> the original </w:t>
      </w:r>
      <w:r w:rsidR="00DA62F6">
        <w:rPr>
          <w:rFonts w:ascii="Arial" w:eastAsiaTheme="minorHAnsi" w:hAnsi="Arial" w:cs="Arial"/>
          <w:sz w:val="22"/>
          <w:szCs w:val="22"/>
        </w:rPr>
        <w:t>timeframe</w:t>
      </w:r>
      <w:r w:rsidRPr="00037EC0">
        <w:rPr>
          <w:rFonts w:ascii="Arial" w:eastAsiaTheme="minorHAnsi" w:hAnsi="Arial" w:cs="Arial"/>
          <w:sz w:val="22"/>
          <w:szCs w:val="22"/>
        </w:rPr>
        <w:t>, in part as</w:t>
      </w:r>
      <w:r w:rsidR="00DA62F6">
        <w:rPr>
          <w:rFonts w:ascii="Arial" w:eastAsiaTheme="minorHAnsi" w:hAnsi="Arial" w:cs="Arial"/>
          <w:sz w:val="22"/>
          <w:szCs w:val="22"/>
        </w:rPr>
        <w:t xml:space="preserve"> a result of the </w:t>
      </w:r>
      <w:proofErr w:type="spellStart"/>
      <w:r w:rsidR="00DA62F6">
        <w:rPr>
          <w:rFonts w:ascii="Arial" w:eastAsiaTheme="minorHAnsi" w:hAnsi="Arial" w:cs="Arial"/>
          <w:sz w:val="22"/>
          <w:szCs w:val="22"/>
        </w:rPr>
        <w:t>Covid</w:t>
      </w:r>
      <w:proofErr w:type="spellEnd"/>
      <w:r w:rsidR="00DA62F6">
        <w:rPr>
          <w:rFonts w:ascii="Arial" w:eastAsiaTheme="minorHAnsi" w:hAnsi="Arial" w:cs="Arial"/>
          <w:sz w:val="22"/>
          <w:szCs w:val="22"/>
        </w:rPr>
        <w:t xml:space="preserve"> pandemic</w:t>
      </w:r>
      <w:r w:rsidRPr="00037EC0">
        <w:rPr>
          <w:rFonts w:ascii="Arial" w:eastAsiaTheme="minorHAnsi" w:hAnsi="Arial" w:cs="Arial"/>
          <w:sz w:val="22"/>
          <w:szCs w:val="22"/>
        </w:rPr>
        <w:t xml:space="preserve"> and agreed that the timeframe for implementation </w:t>
      </w:r>
      <w:r w:rsidR="00DA62F6">
        <w:rPr>
          <w:rFonts w:ascii="Arial" w:eastAsiaTheme="minorHAnsi" w:hAnsi="Arial" w:cs="Arial"/>
          <w:sz w:val="22"/>
          <w:szCs w:val="22"/>
        </w:rPr>
        <w:t>required both revision and extension.</w:t>
      </w:r>
    </w:p>
    <w:p w:rsidR="0048304E" w:rsidRPr="00037EC0" w:rsidRDefault="0048304E" w:rsidP="00AF3B99">
      <w:pPr>
        <w:jc w:val="both"/>
        <w:textAlignment w:val="top"/>
        <w:rPr>
          <w:rFonts w:ascii="Arial" w:eastAsiaTheme="minorHAnsi" w:hAnsi="Arial" w:cs="Arial"/>
          <w:sz w:val="22"/>
          <w:szCs w:val="22"/>
        </w:rPr>
      </w:pPr>
    </w:p>
    <w:p w:rsidR="00086593" w:rsidRPr="00037EC0" w:rsidRDefault="0048304E" w:rsidP="00037EC0">
      <w:pPr>
        <w:jc w:val="both"/>
        <w:textAlignment w:val="top"/>
        <w:rPr>
          <w:rFonts w:ascii="Arial" w:eastAsiaTheme="minorHAnsi" w:hAnsi="Arial" w:cs="Arial"/>
          <w:sz w:val="22"/>
          <w:szCs w:val="22"/>
        </w:rPr>
      </w:pPr>
      <w:r w:rsidRPr="00037EC0">
        <w:rPr>
          <w:rFonts w:ascii="Arial" w:eastAsiaTheme="minorHAnsi" w:hAnsi="Arial" w:cs="Arial"/>
          <w:sz w:val="22"/>
          <w:szCs w:val="22"/>
        </w:rPr>
        <w:t xml:space="preserve">The Scottish Government </w:t>
      </w:r>
      <w:r w:rsidR="00DA62F6">
        <w:rPr>
          <w:rFonts w:ascii="Arial" w:eastAsiaTheme="minorHAnsi" w:hAnsi="Arial" w:cs="Arial"/>
          <w:sz w:val="22"/>
          <w:szCs w:val="22"/>
        </w:rPr>
        <w:t xml:space="preserve">wrote </w:t>
      </w:r>
      <w:r w:rsidRPr="00037EC0">
        <w:rPr>
          <w:rFonts w:ascii="Arial" w:eastAsiaTheme="minorHAnsi" w:hAnsi="Arial" w:cs="Arial"/>
          <w:sz w:val="22"/>
          <w:szCs w:val="22"/>
        </w:rPr>
        <w:t xml:space="preserve">on </w:t>
      </w:r>
      <w:r w:rsidR="00DA62F6">
        <w:rPr>
          <w:rFonts w:ascii="Arial" w:eastAsiaTheme="minorHAnsi" w:hAnsi="Arial" w:cs="Arial"/>
          <w:sz w:val="22"/>
          <w:szCs w:val="22"/>
        </w:rPr>
        <w:t>in</w:t>
      </w:r>
      <w:r w:rsidRPr="00037EC0">
        <w:rPr>
          <w:rFonts w:ascii="Arial" w:eastAsiaTheme="minorHAnsi" w:hAnsi="Arial" w:cs="Arial"/>
          <w:sz w:val="22"/>
          <w:szCs w:val="22"/>
        </w:rPr>
        <w:t xml:space="preserve"> April to </w:t>
      </w:r>
      <w:r w:rsidR="00DA62F6">
        <w:rPr>
          <w:rFonts w:ascii="Arial" w:eastAsiaTheme="minorHAnsi" w:hAnsi="Arial" w:cs="Arial"/>
          <w:sz w:val="22"/>
          <w:szCs w:val="22"/>
        </w:rPr>
        <w:t xml:space="preserve">all </w:t>
      </w:r>
      <w:r w:rsidRPr="00037EC0">
        <w:rPr>
          <w:rFonts w:ascii="Arial" w:eastAsiaTheme="minorHAnsi" w:hAnsi="Arial" w:cs="Arial"/>
          <w:sz w:val="22"/>
          <w:szCs w:val="22"/>
        </w:rPr>
        <w:t xml:space="preserve">NHS </w:t>
      </w:r>
      <w:r w:rsidR="00DA62F6">
        <w:rPr>
          <w:rFonts w:ascii="Arial" w:eastAsiaTheme="minorHAnsi" w:hAnsi="Arial" w:cs="Arial"/>
          <w:sz w:val="22"/>
          <w:szCs w:val="22"/>
        </w:rPr>
        <w:t>b</w:t>
      </w:r>
      <w:r w:rsidRPr="00037EC0">
        <w:rPr>
          <w:rFonts w:ascii="Arial" w:eastAsiaTheme="minorHAnsi" w:hAnsi="Arial" w:cs="Arial"/>
          <w:sz w:val="22"/>
          <w:szCs w:val="22"/>
        </w:rPr>
        <w:t>oards, IJB Chief Officers a</w:t>
      </w:r>
      <w:r w:rsidR="00DA62F6">
        <w:rPr>
          <w:rFonts w:ascii="Arial" w:eastAsiaTheme="minorHAnsi" w:hAnsi="Arial" w:cs="Arial"/>
          <w:sz w:val="22"/>
          <w:szCs w:val="22"/>
        </w:rPr>
        <w:t xml:space="preserve">nd GPs stating the intention </w:t>
      </w:r>
      <w:r w:rsidRPr="00037EC0">
        <w:rPr>
          <w:rFonts w:ascii="Arial" w:eastAsiaTheme="minorHAnsi" w:hAnsi="Arial" w:cs="Arial"/>
          <w:sz w:val="22"/>
          <w:szCs w:val="22"/>
        </w:rPr>
        <w:t xml:space="preserve">to issue an updated MoU. </w:t>
      </w:r>
      <w:r w:rsidR="00037EC0">
        <w:rPr>
          <w:rFonts w:ascii="Arial" w:eastAsiaTheme="minorHAnsi" w:hAnsi="Arial" w:cs="Arial"/>
          <w:sz w:val="22"/>
          <w:szCs w:val="22"/>
        </w:rPr>
        <w:t>No updated Mo</w:t>
      </w:r>
      <w:r w:rsidR="00037EC0" w:rsidRPr="00037EC0">
        <w:rPr>
          <w:rFonts w:ascii="Arial" w:eastAsiaTheme="minorHAnsi" w:hAnsi="Arial" w:cs="Arial"/>
          <w:sz w:val="22"/>
          <w:szCs w:val="22"/>
        </w:rPr>
        <w:t xml:space="preserve">U has </w:t>
      </w:r>
      <w:r w:rsidR="00DA62F6">
        <w:rPr>
          <w:rFonts w:ascii="Arial" w:eastAsiaTheme="minorHAnsi" w:hAnsi="Arial" w:cs="Arial"/>
          <w:sz w:val="22"/>
          <w:szCs w:val="22"/>
        </w:rPr>
        <w:t xml:space="preserve">yet </w:t>
      </w:r>
      <w:r w:rsidR="00037EC0" w:rsidRPr="00037EC0">
        <w:rPr>
          <w:rFonts w:ascii="Arial" w:eastAsiaTheme="minorHAnsi" w:hAnsi="Arial" w:cs="Arial"/>
          <w:sz w:val="22"/>
          <w:szCs w:val="22"/>
        </w:rPr>
        <w:t>been issued</w:t>
      </w:r>
      <w:r w:rsidR="00DA62F6">
        <w:rPr>
          <w:rFonts w:ascii="Arial" w:eastAsiaTheme="minorHAnsi" w:hAnsi="Arial" w:cs="Arial"/>
          <w:sz w:val="22"/>
          <w:szCs w:val="22"/>
        </w:rPr>
        <w:t>,</w:t>
      </w:r>
      <w:r w:rsidR="00037EC0" w:rsidRPr="00037EC0">
        <w:rPr>
          <w:rFonts w:ascii="Arial" w:eastAsiaTheme="minorHAnsi" w:hAnsi="Arial" w:cs="Arial"/>
          <w:sz w:val="22"/>
          <w:szCs w:val="22"/>
        </w:rPr>
        <w:t xml:space="preserve"> but when it is, will be reported back to</w:t>
      </w:r>
      <w:r w:rsidR="00037EC0">
        <w:rPr>
          <w:rFonts w:ascii="Arial" w:eastAsiaTheme="minorHAnsi" w:hAnsi="Arial" w:cs="Arial"/>
          <w:sz w:val="22"/>
          <w:szCs w:val="22"/>
        </w:rPr>
        <w:t xml:space="preserve"> PCIP Executive. The existing Mo</w:t>
      </w:r>
      <w:r w:rsidR="00037EC0" w:rsidRPr="00037EC0">
        <w:rPr>
          <w:rFonts w:ascii="Arial" w:eastAsiaTheme="minorHAnsi" w:hAnsi="Arial" w:cs="Arial"/>
          <w:sz w:val="22"/>
          <w:szCs w:val="22"/>
        </w:rPr>
        <w:t>U remains in place meantime.</w:t>
      </w:r>
    </w:p>
    <w:p w:rsidR="00037EC0" w:rsidRPr="00037EC0" w:rsidRDefault="00037EC0" w:rsidP="00037EC0">
      <w:pPr>
        <w:jc w:val="both"/>
        <w:textAlignment w:val="top"/>
        <w:rPr>
          <w:rFonts w:ascii="Arial" w:eastAsiaTheme="minorHAnsi" w:hAnsi="Arial" w:cs="Arial"/>
          <w:sz w:val="22"/>
          <w:szCs w:val="22"/>
        </w:rPr>
      </w:pPr>
    </w:p>
    <w:p w:rsidR="00037EC0" w:rsidRPr="00037EC0" w:rsidRDefault="00037EC0" w:rsidP="00037EC0">
      <w:pPr>
        <w:jc w:val="both"/>
        <w:textAlignment w:val="top"/>
        <w:rPr>
          <w:rFonts w:ascii="Arial" w:eastAsiaTheme="minorHAnsi" w:hAnsi="Arial" w:cs="Arial"/>
          <w:sz w:val="22"/>
          <w:szCs w:val="22"/>
        </w:rPr>
      </w:pPr>
    </w:p>
    <w:p w:rsidR="00903F84" w:rsidRDefault="00903F84">
      <w:pPr>
        <w:spacing w:after="200" w:line="276" w:lineRule="auto"/>
        <w:rPr>
          <w:rFonts w:ascii="Arial" w:eastAsiaTheme="minorHAnsi" w:hAnsi="Arial" w:cs="Arial"/>
          <w:b/>
          <w:sz w:val="22"/>
          <w:szCs w:val="22"/>
        </w:rPr>
      </w:pPr>
      <w:r>
        <w:rPr>
          <w:rFonts w:ascii="Arial" w:eastAsiaTheme="minorHAnsi" w:hAnsi="Arial" w:cs="Arial"/>
          <w:b/>
          <w:sz w:val="22"/>
          <w:szCs w:val="22"/>
        </w:rPr>
        <w:br w:type="page"/>
      </w:r>
    </w:p>
    <w:p w:rsidR="00037EC0" w:rsidRPr="00037EC0" w:rsidRDefault="00037EC0" w:rsidP="00037EC0">
      <w:pPr>
        <w:jc w:val="both"/>
        <w:textAlignment w:val="top"/>
        <w:rPr>
          <w:rFonts w:ascii="Arial" w:eastAsiaTheme="minorHAnsi" w:hAnsi="Arial" w:cs="Arial"/>
          <w:b/>
          <w:sz w:val="22"/>
          <w:szCs w:val="22"/>
        </w:rPr>
      </w:pPr>
      <w:r w:rsidRPr="00037EC0">
        <w:rPr>
          <w:rFonts w:ascii="Arial" w:eastAsiaTheme="minorHAnsi" w:hAnsi="Arial" w:cs="Arial"/>
          <w:b/>
          <w:sz w:val="22"/>
          <w:szCs w:val="22"/>
        </w:rPr>
        <w:lastRenderedPageBreak/>
        <w:t>Recommendations</w:t>
      </w:r>
    </w:p>
    <w:p w:rsidR="00037EC0" w:rsidRPr="00AE7D71" w:rsidRDefault="00037EC0" w:rsidP="00037EC0">
      <w:pPr>
        <w:jc w:val="both"/>
        <w:textAlignment w:val="top"/>
        <w:rPr>
          <w:rFonts w:ascii="Arial" w:hAnsi="Arial" w:cs="Arial"/>
          <w:noProof/>
          <w:sz w:val="22"/>
          <w:szCs w:val="22"/>
          <w:highlight w:val="yellow"/>
          <w:lang w:eastAsia="en-GB"/>
        </w:rPr>
      </w:pPr>
    </w:p>
    <w:p w:rsidR="00441B81" w:rsidRPr="00D112B4" w:rsidRDefault="008B2923" w:rsidP="00AF3B99">
      <w:pPr>
        <w:jc w:val="both"/>
        <w:rPr>
          <w:rFonts w:ascii="Arial" w:eastAsiaTheme="minorHAnsi" w:hAnsi="Arial" w:cs="Arial"/>
          <w:b/>
          <w:sz w:val="22"/>
          <w:szCs w:val="22"/>
        </w:rPr>
      </w:pPr>
      <w:r w:rsidRPr="00D112B4">
        <w:rPr>
          <w:rFonts w:ascii="Arial" w:eastAsiaTheme="minorHAnsi" w:hAnsi="Arial" w:cs="Arial"/>
          <w:b/>
          <w:sz w:val="22"/>
          <w:szCs w:val="22"/>
        </w:rPr>
        <w:t>PCIP Executive is asked to</w:t>
      </w:r>
      <w:r w:rsidR="00D112B4" w:rsidRPr="00D112B4">
        <w:rPr>
          <w:rFonts w:ascii="Arial" w:eastAsiaTheme="minorHAnsi" w:hAnsi="Arial" w:cs="Arial"/>
          <w:b/>
          <w:sz w:val="22"/>
          <w:szCs w:val="22"/>
        </w:rPr>
        <w:t>:</w:t>
      </w:r>
    </w:p>
    <w:p w:rsidR="00D112B4" w:rsidRPr="00D112B4" w:rsidRDefault="00D112B4" w:rsidP="00AF3B99">
      <w:pPr>
        <w:jc w:val="both"/>
        <w:rPr>
          <w:rFonts w:ascii="Arial" w:eastAsiaTheme="minorHAnsi" w:hAnsi="Arial" w:cs="Arial"/>
          <w:b/>
          <w:sz w:val="22"/>
          <w:szCs w:val="22"/>
        </w:rPr>
      </w:pPr>
    </w:p>
    <w:p w:rsidR="008B2923" w:rsidRDefault="008B2923" w:rsidP="00AF3B99">
      <w:pPr>
        <w:pStyle w:val="ListParagraph"/>
        <w:numPr>
          <w:ilvl w:val="0"/>
          <w:numId w:val="3"/>
        </w:numPr>
        <w:spacing w:after="0" w:line="240" w:lineRule="auto"/>
        <w:jc w:val="both"/>
        <w:rPr>
          <w:rFonts w:ascii="Arial" w:eastAsiaTheme="minorHAnsi" w:hAnsi="Arial" w:cs="Arial"/>
          <w:b/>
        </w:rPr>
      </w:pPr>
      <w:r w:rsidRPr="00D112B4">
        <w:rPr>
          <w:rFonts w:ascii="Arial" w:eastAsiaTheme="minorHAnsi" w:hAnsi="Arial" w:cs="Arial"/>
          <w:b/>
        </w:rPr>
        <w:t>N</w:t>
      </w:r>
      <w:r w:rsidR="00483711" w:rsidRPr="00D112B4">
        <w:rPr>
          <w:rFonts w:ascii="Arial" w:eastAsiaTheme="minorHAnsi" w:hAnsi="Arial" w:cs="Arial"/>
          <w:b/>
        </w:rPr>
        <w:t>ote the contents of t</w:t>
      </w:r>
      <w:r w:rsidR="00D112B4">
        <w:rPr>
          <w:rFonts w:ascii="Arial" w:eastAsiaTheme="minorHAnsi" w:hAnsi="Arial" w:cs="Arial"/>
          <w:b/>
        </w:rPr>
        <w:t>his report;</w:t>
      </w:r>
    </w:p>
    <w:p w:rsidR="001364AF" w:rsidRDefault="001364AF" w:rsidP="00AF3B99">
      <w:pPr>
        <w:pStyle w:val="ListParagraph"/>
        <w:numPr>
          <w:ilvl w:val="0"/>
          <w:numId w:val="3"/>
        </w:numPr>
        <w:spacing w:after="0" w:line="240" w:lineRule="auto"/>
        <w:jc w:val="both"/>
        <w:rPr>
          <w:rFonts w:ascii="Arial" w:eastAsiaTheme="minorHAnsi" w:hAnsi="Arial" w:cs="Arial"/>
          <w:b/>
        </w:rPr>
      </w:pPr>
      <w:r>
        <w:rPr>
          <w:rFonts w:ascii="Arial" w:eastAsiaTheme="minorHAnsi" w:hAnsi="Arial" w:cs="Arial"/>
          <w:b/>
        </w:rPr>
        <w:t xml:space="preserve">Note that </w:t>
      </w:r>
      <w:r w:rsidRPr="001364AF">
        <w:rPr>
          <w:rFonts w:ascii="Arial" w:eastAsiaTheme="minorHAnsi" w:hAnsi="Arial" w:cs="Arial"/>
          <w:b/>
          <w:color w:val="0070C0"/>
        </w:rPr>
        <w:t>£0.069m</w:t>
      </w:r>
      <w:r>
        <w:rPr>
          <w:rFonts w:ascii="Arial" w:eastAsiaTheme="minorHAnsi" w:hAnsi="Arial" w:cs="Arial"/>
          <w:b/>
        </w:rPr>
        <w:t xml:space="preserve"> of recurring resource remains unallocated by PCIP Executive</w:t>
      </w:r>
    </w:p>
    <w:p w:rsidR="001364AF" w:rsidRDefault="001364AF" w:rsidP="00AF3B99">
      <w:pPr>
        <w:pStyle w:val="ListParagraph"/>
        <w:numPr>
          <w:ilvl w:val="0"/>
          <w:numId w:val="3"/>
        </w:numPr>
        <w:spacing w:after="0" w:line="240" w:lineRule="auto"/>
        <w:jc w:val="both"/>
        <w:rPr>
          <w:rFonts w:ascii="Arial" w:eastAsiaTheme="minorHAnsi" w:hAnsi="Arial" w:cs="Arial"/>
          <w:b/>
        </w:rPr>
      </w:pPr>
      <w:r>
        <w:rPr>
          <w:rFonts w:ascii="Arial" w:eastAsiaTheme="minorHAnsi" w:hAnsi="Arial" w:cs="Arial"/>
          <w:b/>
        </w:rPr>
        <w:t xml:space="preserve">Note forecast slippage of </w:t>
      </w:r>
      <w:r w:rsidRPr="001364AF">
        <w:rPr>
          <w:rFonts w:ascii="Arial" w:eastAsiaTheme="minorHAnsi" w:hAnsi="Arial" w:cs="Arial"/>
          <w:b/>
          <w:color w:val="0070C0"/>
        </w:rPr>
        <w:t>£0.387m</w:t>
      </w:r>
      <w:r>
        <w:rPr>
          <w:rFonts w:ascii="Arial" w:eastAsiaTheme="minorHAnsi" w:hAnsi="Arial" w:cs="Arial"/>
          <w:b/>
        </w:rPr>
        <w:t xml:space="preserve"> on across the PCIP workstreams against previously directed resource;</w:t>
      </w:r>
    </w:p>
    <w:p w:rsidR="001364AF" w:rsidRDefault="001364AF" w:rsidP="00AF3B99">
      <w:pPr>
        <w:pStyle w:val="ListParagraph"/>
        <w:numPr>
          <w:ilvl w:val="0"/>
          <w:numId w:val="3"/>
        </w:numPr>
        <w:spacing w:after="0" w:line="240" w:lineRule="auto"/>
        <w:jc w:val="both"/>
        <w:rPr>
          <w:rFonts w:ascii="Arial" w:eastAsiaTheme="minorHAnsi" w:hAnsi="Arial" w:cs="Arial"/>
          <w:b/>
        </w:rPr>
      </w:pPr>
      <w:r>
        <w:rPr>
          <w:rFonts w:ascii="Arial" w:eastAsiaTheme="minorHAnsi" w:hAnsi="Arial" w:cs="Arial"/>
          <w:b/>
        </w:rPr>
        <w:t xml:space="preserve">Note </w:t>
      </w:r>
      <w:r w:rsidRPr="001364AF">
        <w:rPr>
          <w:rFonts w:ascii="Arial" w:eastAsiaTheme="minorHAnsi" w:hAnsi="Arial" w:cs="Arial"/>
          <w:b/>
          <w:color w:val="0070C0"/>
        </w:rPr>
        <w:t>£1.021m</w:t>
      </w:r>
      <w:r>
        <w:rPr>
          <w:rFonts w:ascii="Arial" w:eastAsiaTheme="minorHAnsi" w:hAnsi="Arial" w:cs="Arial"/>
          <w:b/>
        </w:rPr>
        <w:t xml:space="preserve"> of non-recurring funding remains uncommitted and available for direction by the PCIP Executive;</w:t>
      </w:r>
    </w:p>
    <w:p w:rsidR="00B27E9C" w:rsidRPr="00D112B4" w:rsidRDefault="00B27E9C" w:rsidP="00AF3B99">
      <w:pPr>
        <w:pStyle w:val="ListParagraph"/>
        <w:numPr>
          <w:ilvl w:val="0"/>
          <w:numId w:val="3"/>
        </w:numPr>
        <w:spacing w:after="0" w:line="240" w:lineRule="auto"/>
        <w:jc w:val="both"/>
        <w:rPr>
          <w:rFonts w:ascii="Arial" w:eastAsiaTheme="minorHAnsi" w:hAnsi="Arial" w:cs="Arial"/>
          <w:b/>
        </w:rPr>
      </w:pPr>
      <w:r>
        <w:rPr>
          <w:rFonts w:ascii="Arial" w:eastAsiaTheme="minorHAnsi" w:hAnsi="Arial" w:cs="Arial"/>
          <w:b/>
        </w:rPr>
        <w:t xml:space="preserve">Note that the Scottish Government has issued the Annual Fund Letter 2021/22 confirming Borders’ PCIF allocation of </w:t>
      </w:r>
      <w:r w:rsidRPr="00B27E9C">
        <w:rPr>
          <w:rFonts w:ascii="Arial" w:eastAsiaTheme="minorHAnsi" w:hAnsi="Arial" w:cs="Arial"/>
          <w:b/>
          <w:color w:val="0070C0"/>
        </w:rPr>
        <w:t>£3.296m</w:t>
      </w:r>
      <w:r w:rsidR="001364AF">
        <w:rPr>
          <w:rFonts w:ascii="Arial" w:eastAsiaTheme="minorHAnsi" w:hAnsi="Arial" w:cs="Arial"/>
          <w:b/>
          <w:color w:val="0070C0"/>
        </w:rPr>
        <w:t>;</w:t>
      </w:r>
    </w:p>
    <w:p w:rsidR="001364AF" w:rsidRPr="001364AF" w:rsidRDefault="00803487" w:rsidP="001364AF">
      <w:pPr>
        <w:pStyle w:val="ListParagraph"/>
        <w:numPr>
          <w:ilvl w:val="0"/>
          <w:numId w:val="3"/>
        </w:numPr>
        <w:spacing w:after="0" w:line="240" w:lineRule="auto"/>
        <w:jc w:val="both"/>
        <w:rPr>
          <w:rFonts w:ascii="Arial" w:eastAsiaTheme="minorHAnsi" w:hAnsi="Arial" w:cs="Arial"/>
          <w:b/>
        </w:rPr>
      </w:pPr>
      <w:r w:rsidRPr="00D112B4">
        <w:rPr>
          <w:rFonts w:ascii="Arial" w:eastAsiaTheme="minorHAnsi" w:hAnsi="Arial" w:cs="Arial"/>
          <w:b/>
        </w:rPr>
        <w:t>Consider the proposed service models for VTP and CT</w:t>
      </w:r>
      <w:r w:rsidR="00D112B4">
        <w:rPr>
          <w:rFonts w:ascii="Arial" w:eastAsiaTheme="minorHAnsi" w:hAnsi="Arial" w:cs="Arial"/>
          <w:b/>
        </w:rPr>
        <w:t>CS</w:t>
      </w:r>
      <w:r w:rsidRPr="00D112B4">
        <w:rPr>
          <w:rFonts w:ascii="Arial" w:eastAsiaTheme="minorHAnsi" w:hAnsi="Arial" w:cs="Arial"/>
          <w:b/>
        </w:rPr>
        <w:t xml:space="preserve"> together with other known fundi</w:t>
      </w:r>
      <w:r w:rsidR="00D112B4">
        <w:rPr>
          <w:rFonts w:ascii="Arial" w:eastAsiaTheme="minorHAnsi" w:hAnsi="Arial" w:cs="Arial"/>
          <w:b/>
        </w:rPr>
        <w:t>ng requirements to support PCIP;</w:t>
      </w:r>
    </w:p>
    <w:p w:rsidR="00441B81" w:rsidRPr="00D112B4" w:rsidRDefault="00803487" w:rsidP="00AF3B99">
      <w:pPr>
        <w:pStyle w:val="ListParagraph"/>
        <w:numPr>
          <w:ilvl w:val="0"/>
          <w:numId w:val="3"/>
        </w:numPr>
        <w:spacing w:after="0" w:line="240" w:lineRule="auto"/>
        <w:jc w:val="both"/>
        <w:rPr>
          <w:rFonts w:ascii="Arial" w:eastAsiaTheme="minorHAnsi" w:hAnsi="Arial" w:cs="Arial"/>
          <w:b/>
        </w:rPr>
      </w:pPr>
      <w:r w:rsidRPr="00D112B4">
        <w:rPr>
          <w:rFonts w:ascii="Arial" w:eastAsiaTheme="minorHAnsi" w:hAnsi="Arial" w:cs="Arial"/>
          <w:b/>
        </w:rPr>
        <w:t xml:space="preserve">Oversee the </w:t>
      </w:r>
      <w:r w:rsidR="00441B81" w:rsidRPr="00D112B4">
        <w:rPr>
          <w:rFonts w:ascii="Arial" w:eastAsiaTheme="minorHAnsi" w:hAnsi="Arial" w:cs="Arial"/>
          <w:b/>
        </w:rPr>
        <w:t>produc</w:t>
      </w:r>
      <w:r w:rsidRPr="00D112B4">
        <w:rPr>
          <w:rFonts w:ascii="Arial" w:eastAsiaTheme="minorHAnsi" w:hAnsi="Arial" w:cs="Arial"/>
          <w:b/>
        </w:rPr>
        <w:t>tion of</w:t>
      </w:r>
      <w:r w:rsidR="00441B81" w:rsidRPr="00D112B4">
        <w:rPr>
          <w:rFonts w:ascii="Arial" w:eastAsiaTheme="minorHAnsi" w:hAnsi="Arial" w:cs="Arial"/>
          <w:b/>
        </w:rPr>
        <w:t xml:space="preserve"> a fully costed</w:t>
      </w:r>
      <w:r w:rsidR="00D112B4">
        <w:rPr>
          <w:rFonts w:ascii="Arial" w:eastAsiaTheme="minorHAnsi" w:hAnsi="Arial" w:cs="Arial"/>
          <w:b/>
        </w:rPr>
        <w:t xml:space="preserve"> </w:t>
      </w:r>
      <w:r w:rsidRPr="00D112B4">
        <w:rPr>
          <w:rFonts w:ascii="Arial" w:eastAsiaTheme="minorHAnsi" w:hAnsi="Arial" w:cs="Arial"/>
          <w:b/>
        </w:rPr>
        <w:t xml:space="preserve">programmed spending </w:t>
      </w:r>
      <w:r w:rsidR="00441B81" w:rsidRPr="00D112B4">
        <w:rPr>
          <w:rFonts w:ascii="Arial" w:eastAsiaTheme="minorHAnsi" w:hAnsi="Arial" w:cs="Arial"/>
          <w:b/>
        </w:rPr>
        <w:t xml:space="preserve">plan </w:t>
      </w:r>
      <w:r w:rsidRPr="00D112B4">
        <w:rPr>
          <w:rFonts w:ascii="Arial" w:eastAsiaTheme="minorHAnsi" w:hAnsi="Arial" w:cs="Arial"/>
          <w:b/>
        </w:rPr>
        <w:t xml:space="preserve">for the </w:t>
      </w:r>
      <w:r w:rsidR="00AF3B99">
        <w:rPr>
          <w:rFonts w:ascii="Arial" w:eastAsiaTheme="minorHAnsi" w:hAnsi="Arial" w:cs="Arial"/>
          <w:b/>
        </w:rPr>
        <w:t>additional non-</w:t>
      </w:r>
      <w:r w:rsidR="00441B81" w:rsidRPr="00D112B4">
        <w:rPr>
          <w:rFonts w:ascii="Arial" w:eastAsiaTheme="minorHAnsi" w:hAnsi="Arial" w:cs="Arial"/>
          <w:b/>
        </w:rPr>
        <w:t xml:space="preserve">recurring </w:t>
      </w:r>
      <w:r w:rsidR="00AF3B99">
        <w:rPr>
          <w:rFonts w:ascii="Arial" w:eastAsiaTheme="minorHAnsi" w:hAnsi="Arial" w:cs="Arial"/>
          <w:b/>
        </w:rPr>
        <w:t>available resource</w:t>
      </w:r>
      <w:r w:rsidR="00441B81" w:rsidRPr="00D112B4">
        <w:rPr>
          <w:rFonts w:ascii="Arial" w:eastAsiaTheme="minorHAnsi" w:hAnsi="Arial" w:cs="Arial"/>
          <w:b/>
        </w:rPr>
        <w:t xml:space="preserve"> to support d</w:t>
      </w:r>
      <w:r w:rsidR="00D112B4">
        <w:rPr>
          <w:rFonts w:ascii="Arial" w:eastAsiaTheme="minorHAnsi" w:hAnsi="Arial" w:cs="Arial"/>
          <w:b/>
        </w:rPr>
        <w:t>elivery of the MoU;</w:t>
      </w:r>
    </w:p>
    <w:p w:rsidR="00086593" w:rsidRPr="00037EC0" w:rsidRDefault="00A72158" w:rsidP="00AF3B99">
      <w:pPr>
        <w:pStyle w:val="ListParagraph"/>
        <w:numPr>
          <w:ilvl w:val="0"/>
          <w:numId w:val="3"/>
        </w:numPr>
        <w:spacing w:after="0" w:line="240" w:lineRule="auto"/>
        <w:jc w:val="both"/>
        <w:rPr>
          <w:rFonts w:ascii="Arial" w:eastAsiaTheme="minorHAnsi" w:hAnsi="Arial" w:cs="Arial"/>
          <w:b/>
        </w:rPr>
      </w:pPr>
      <w:r w:rsidRPr="00037EC0">
        <w:rPr>
          <w:rFonts w:ascii="Arial" w:eastAsiaTheme="minorHAnsi" w:hAnsi="Arial" w:cs="Arial"/>
          <w:b/>
        </w:rPr>
        <w:t>Continue to p</w:t>
      </w:r>
      <w:r w:rsidR="0048304E" w:rsidRPr="00037EC0">
        <w:rPr>
          <w:rFonts w:ascii="Arial" w:eastAsiaTheme="minorHAnsi" w:hAnsi="Arial" w:cs="Arial"/>
          <w:b/>
        </w:rPr>
        <w:t>lan the delivery of service with regard to</w:t>
      </w:r>
      <w:r w:rsidR="003272F5" w:rsidRPr="00037EC0">
        <w:rPr>
          <w:rFonts w:ascii="Arial" w:eastAsiaTheme="minorHAnsi" w:hAnsi="Arial" w:cs="Arial"/>
          <w:b/>
        </w:rPr>
        <w:t xml:space="preserve"> the revised timescales set out in the </w:t>
      </w:r>
      <w:r w:rsidR="00086593" w:rsidRPr="00037EC0">
        <w:rPr>
          <w:rFonts w:ascii="Arial" w:eastAsiaTheme="minorHAnsi" w:hAnsi="Arial" w:cs="Arial"/>
          <w:b/>
        </w:rPr>
        <w:t>Joint Letter received on the 2</w:t>
      </w:r>
      <w:r w:rsidR="00086593" w:rsidRPr="00037EC0">
        <w:rPr>
          <w:rFonts w:ascii="Arial" w:eastAsiaTheme="minorHAnsi" w:hAnsi="Arial" w:cs="Arial"/>
          <w:b/>
          <w:vertAlign w:val="superscript"/>
        </w:rPr>
        <w:t>nd</w:t>
      </w:r>
      <w:r w:rsidR="00086593" w:rsidRPr="00037EC0">
        <w:rPr>
          <w:rFonts w:ascii="Arial" w:eastAsiaTheme="minorHAnsi" w:hAnsi="Arial" w:cs="Arial"/>
          <w:b/>
        </w:rPr>
        <w:t xml:space="preserve"> of December </w:t>
      </w:r>
      <w:r w:rsidR="003272F5" w:rsidRPr="00037EC0">
        <w:rPr>
          <w:rFonts w:ascii="Arial" w:eastAsiaTheme="minorHAnsi" w:hAnsi="Arial" w:cs="Arial"/>
          <w:b/>
        </w:rPr>
        <w:t>and ensure that these are passed on through the workstream leads to progress on delivery of the MoU priorities as set out in the PCIP.</w:t>
      </w:r>
    </w:p>
    <w:p w:rsidR="003272F5" w:rsidRDefault="003272F5" w:rsidP="00AF3B99">
      <w:pPr>
        <w:pStyle w:val="ListParagraph"/>
        <w:spacing w:after="0" w:line="240" w:lineRule="auto"/>
        <w:ind w:left="0"/>
        <w:jc w:val="both"/>
        <w:rPr>
          <w:rFonts w:ascii="Arial" w:eastAsiaTheme="minorHAnsi" w:hAnsi="Arial" w:cs="Arial"/>
        </w:rPr>
      </w:pPr>
    </w:p>
    <w:p w:rsidR="00D112B4" w:rsidRPr="00AE7D71" w:rsidRDefault="00D112B4" w:rsidP="00AF3B99">
      <w:pPr>
        <w:pStyle w:val="ListParagraph"/>
        <w:spacing w:after="0" w:line="240" w:lineRule="auto"/>
        <w:ind w:left="0"/>
        <w:jc w:val="both"/>
        <w:rPr>
          <w:rFonts w:ascii="Arial" w:eastAsiaTheme="minorHAnsi" w:hAnsi="Arial" w:cs="Arial"/>
        </w:rPr>
      </w:pPr>
    </w:p>
    <w:p w:rsidR="00723F9B" w:rsidRPr="00723F9B" w:rsidRDefault="00723F9B" w:rsidP="00AF3B99">
      <w:pPr>
        <w:pStyle w:val="ListParagraph"/>
        <w:spacing w:after="0" w:line="240" w:lineRule="auto"/>
        <w:ind w:left="0"/>
        <w:jc w:val="both"/>
        <w:rPr>
          <w:rFonts w:ascii="Arial" w:eastAsiaTheme="minorHAnsi" w:hAnsi="Arial" w:cs="Arial"/>
          <w:b/>
        </w:rPr>
      </w:pPr>
      <w:r w:rsidRPr="00723F9B">
        <w:rPr>
          <w:rFonts w:ascii="Arial" w:eastAsiaTheme="minorHAnsi" w:hAnsi="Arial" w:cs="Arial"/>
          <w:b/>
        </w:rPr>
        <w:t>Author:</w:t>
      </w:r>
    </w:p>
    <w:p w:rsidR="008B2923" w:rsidRPr="00AE7D71" w:rsidRDefault="0081677F" w:rsidP="00AF3B99">
      <w:pPr>
        <w:pStyle w:val="ListParagraph"/>
        <w:spacing w:after="0" w:line="240" w:lineRule="auto"/>
        <w:ind w:left="0"/>
        <w:jc w:val="both"/>
        <w:rPr>
          <w:rFonts w:ascii="Arial" w:eastAsiaTheme="minorHAnsi" w:hAnsi="Arial" w:cs="Arial"/>
        </w:rPr>
      </w:pPr>
      <w:r w:rsidRPr="00AE7D71">
        <w:rPr>
          <w:rFonts w:ascii="Arial" w:eastAsiaTheme="minorHAnsi" w:hAnsi="Arial" w:cs="Arial"/>
        </w:rPr>
        <w:t>Paul McMenamin</w:t>
      </w:r>
      <w:r w:rsidR="00597008" w:rsidRPr="00AE7D71">
        <w:rPr>
          <w:rFonts w:ascii="Arial" w:eastAsiaTheme="minorHAnsi" w:hAnsi="Arial" w:cs="Arial"/>
        </w:rPr>
        <w:t xml:space="preserve">, </w:t>
      </w:r>
      <w:r w:rsidRPr="00AE7D71">
        <w:rPr>
          <w:rFonts w:ascii="Arial" w:eastAsiaTheme="minorHAnsi" w:hAnsi="Arial" w:cs="Arial"/>
        </w:rPr>
        <w:t xml:space="preserve">Deputy Director of Finance </w:t>
      </w:r>
      <w:r w:rsidR="00723F9B">
        <w:rPr>
          <w:rFonts w:ascii="Arial" w:eastAsiaTheme="minorHAnsi" w:hAnsi="Arial" w:cs="Arial"/>
        </w:rPr>
        <w:t xml:space="preserve">/ </w:t>
      </w:r>
      <w:r w:rsidRPr="00AE7D71">
        <w:rPr>
          <w:rFonts w:ascii="Arial" w:eastAsiaTheme="minorHAnsi" w:hAnsi="Arial" w:cs="Arial"/>
        </w:rPr>
        <w:t xml:space="preserve">Finance </w:t>
      </w:r>
      <w:r w:rsidR="00597008" w:rsidRPr="00AE7D71">
        <w:rPr>
          <w:rFonts w:ascii="Arial" w:eastAsiaTheme="minorHAnsi" w:hAnsi="Arial" w:cs="Arial"/>
        </w:rPr>
        <w:t>Business Partner</w:t>
      </w:r>
      <w:r w:rsidRPr="00AE7D71">
        <w:rPr>
          <w:rFonts w:ascii="Arial" w:eastAsiaTheme="minorHAnsi" w:hAnsi="Arial" w:cs="Arial"/>
        </w:rPr>
        <w:t xml:space="preserve"> - IJB</w:t>
      </w:r>
    </w:p>
    <w:p w:rsidR="00723F9B" w:rsidRDefault="00723F9B" w:rsidP="00AF3B99">
      <w:pPr>
        <w:pStyle w:val="ListParagraph"/>
        <w:spacing w:after="0" w:line="240" w:lineRule="auto"/>
        <w:ind w:left="0"/>
        <w:jc w:val="both"/>
        <w:rPr>
          <w:rFonts w:ascii="Arial" w:eastAsiaTheme="minorHAnsi" w:hAnsi="Arial" w:cs="Arial"/>
        </w:rPr>
      </w:pPr>
    </w:p>
    <w:p w:rsidR="000B34D8" w:rsidRPr="00112408" w:rsidRDefault="0081677F" w:rsidP="00AF3B99">
      <w:pPr>
        <w:pStyle w:val="ListParagraph"/>
        <w:spacing w:after="0" w:line="240" w:lineRule="auto"/>
        <w:ind w:left="0"/>
        <w:jc w:val="both"/>
        <w:rPr>
          <w:rFonts w:ascii="Arial" w:eastAsiaTheme="minorHAnsi" w:hAnsi="Arial" w:cs="Arial"/>
          <w:b/>
        </w:rPr>
      </w:pPr>
      <w:r w:rsidRPr="00112408">
        <w:rPr>
          <w:rFonts w:ascii="Arial" w:eastAsiaTheme="minorHAnsi" w:hAnsi="Arial" w:cs="Arial"/>
          <w:b/>
        </w:rPr>
        <w:t>30</w:t>
      </w:r>
      <w:r w:rsidRPr="00112408">
        <w:rPr>
          <w:rFonts w:ascii="Arial" w:eastAsiaTheme="minorHAnsi" w:hAnsi="Arial" w:cs="Arial"/>
          <w:b/>
          <w:vertAlign w:val="superscript"/>
        </w:rPr>
        <w:t>th</w:t>
      </w:r>
      <w:r w:rsidRPr="00112408">
        <w:rPr>
          <w:rFonts w:ascii="Arial" w:eastAsiaTheme="minorHAnsi" w:hAnsi="Arial" w:cs="Arial"/>
          <w:b/>
        </w:rPr>
        <w:t xml:space="preserve"> June 2021</w:t>
      </w:r>
    </w:p>
    <w:p w:rsidR="00D459B2" w:rsidRPr="00AE7D71" w:rsidRDefault="00D459B2" w:rsidP="00AF3B99">
      <w:pPr>
        <w:pStyle w:val="ListParagraph"/>
        <w:spacing w:after="0" w:line="240" w:lineRule="auto"/>
        <w:ind w:left="0"/>
        <w:jc w:val="both"/>
        <w:rPr>
          <w:rFonts w:ascii="Arial" w:eastAsiaTheme="minorHAnsi" w:hAnsi="Arial" w:cs="Arial"/>
        </w:rPr>
      </w:pPr>
    </w:p>
    <w:sectPr w:rsidR="00D459B2" w:rsidRPr="00AE7D71" w:rsidSect="00AD10E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A4E99"/>
    <w:multiLevelType w:val="hybridMultilevel"/>
    <w:tmpl w:val="23DC0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EDC05BA"/>
    <w:multiLevelType w:val="hybridMultilevel"/>
    <w:tmpl w:val="ADA2BE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39373A7"/>
    <w:multiLevelType w:val="hybridMultilevel"/>
    <w:tmpl w:val="4BAA4D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46B04ED"/>
    <w:multiLevelType w:val="hybridMultilevel"/>
    <w:tmpl w:val="9B28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D46C5E"/>
    <w:multiLevelType w:val="hybridMultilevel"/>
    <w:tmpl w:val="492A6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E7468E"/>
    <w:multiLevelType w:val="hybridMultilevel"/>
    <w:tmpl w:val="05585A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9626E60"/>
    <w:multiLevelType w:val="hybridMultilevel"/>
    <w:tmpl w:val="65F6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8C73D2"/>
    <w:multiLevelType w:val="hybridMultilevel"/>
    <w:tmpl w:val="72F0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6A5090"/>
    <w:multiLevelType w:val="hybridMultilevel"/>
    <w:tmpl w:val="EE527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FC758C5"/>
    <w:multiLevelType w:val="hybridMultilevel"/>
    <w:tmpl w:val="9E28EF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4"/>
  </w:num>
  <w:num w:numId="4">
    <w:abstractNumId w:val="2"/>
  </w:num>
  <w:num w:numId="5">
    <w:abstractNumId w:val="3"/>
  </w:num>
  <w:num w:numId="6">
    <w:abstractNumId w:val="5"/>
  </w:num>
  <w:num w:numId="7">
    <w:abstractNumId w:val="9"/>
  </w:num>
  <w:num w:numId="8">
    <w:abstractNumId w:val="1"/>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25B2"/>
    <w:rsid w:val="00032BD4"/>
    <w:rsid w:val="00037EC0"/>
    <w:rsid w:val="00041257"/>
    <w:rsid w:val="000505DC"/>
    <w:rsid w:val="000824B2"/>
    <w:rsid w:val="00082D20"/>
    <w:rsid w:val="00085401"/>
    <w:rsid w:val="00086593"/>
    <w:rsid w:val="000B34D8"/>
    <w:rsid w:val="000B7F03"/>
    <w:rsid w:val="000C1994"/>
    <w:rsid w:val="000E2DF1"/>
    <w:rsid w:val="000E7CDF"/>
    <w:rsid w:val="00112408"/>
    <w:rsid w:val="00116E4F"/>
    <w:rsid w:val="001265DC"/>
    <w:rsid w:val="00132356"/>
    <w:rsid w:val="00133FF1"/>
    <w:rsid w:val="001364AF"/>
    <w:rsid w:val="00140540"/>
    <w:rsid w:val="00155164"/>
    <w:rsid w:val="00164448"/>
    <w:rsid w:val="0017403A"/>
    <w:rsid w:val="00177108"/>
    <w:rsid w:val="0018068C"/>
    <w:rsid w:val="001817D6"/>
    <w:rsid w:val="00187D8B"/>
    <w:rsid w:val="001A0CAC"/>
    <w:rsid w:val="001A1FDD"/>
    <w:rsid w:val="001A6B99"/>
    <w:rsid w:val="001B7057"/>
    <w:rsid w:val="001D2990"/>
    <w:rsid w:val="001D5C50"/>
    <w:rsid w:val="00203CCF"/>
    <w:rsid w:val="002127D5"/>
    <w:rsid w:val="00225D57"/>
    <w:rsid w:val="002332F8"/>
    <w:rsid w:val="00241D0B"/>
    <w:rsid w:val="00246242"/>
    <w:rsid w:val="0024792B"/>
    <w:rsid w:val="00253965"/>
    <w:rsid w:val="00273C16"/>
    <w:rsid w:val="00280253"/>
    <w:rsid w:val="002A11D4"/>
    <w:rsid w:val="002C25B2"/>
    <w:rsid w:val="002D03CF"/>
    <w:rsid w:val="002F7337"/>
    <w:rsid w:val="00326790"/>
    <w:rsid w:val="003272F5"/>
    <w:rsid w:val="003643AA"/>
    <w:rsid w:val="0038449A"/>
    <w:rsid w:val="003A165F"/>
    <w:rsid w:val="003B3F08"/>
    <w:rsid w:val="003C08AE"/>
    <w:rsid w:val="003C736C"/>
    <w:rsid w:val="003F54D9"/>
    <w:rsid w:val="0040381D"/>
    <w:rsid w:val="00441B81"/>
    <w:rsid w:val="004441CF"/>
    <w:rsid w:val="00444382"/>
    <w:rsid w:val="00455159"/>
    <w:rsid w:val="00476AB8"/>
    <w:rsid w:val="00477B2F"/>
    <w:rsid w:val="0048304E"/>
    <w:rsid w:val="00483711"/>
    <w:rsid w:val="004A4D75"/>
    <w:rsid w:val="004B1285"/>
    <w:rsid w:val="004C6418"/>
    <w:rsid w:val="004D3620"/>
    <w:rsid w:val="004D7C5F"/>
    <w:rsid w:val="004F202E"/>
    <w:rsid w:val="005067CA"/>
    <w:rsid w:val="00507BC2"/>
    <w:rsid w:val="0051738D"/>
    <w:rsid w:val="00522A48"/>
    <w:rsid w:val="005241BD"/>
    <w:rsid w:val="00555BA8"/>
    <w:rsid w:val="0056423C"/>
    <w:rsid w:val="00597008"/>
    <w:rsid w:val="005B612A"/>
    <w:rsid w:val="005B76A2"/>
    <w:rsid w:val="005C5C3E"/>
    <w:rsid w:val="005C5D6C"/>
    <w:rsid w:val="005C7518"/>
    <w:rsid w:val="005E2381"/>
    <w:rsid w:val="005E2864"/>
    <w:rsid w:val="005E6870"/>
    <w:rsid w:val="005F6F86"/>
    <w:rsid w:val="006000B9"/>
    <w:rsid w:val="0061473D"/>
    <w:rsid w:val="00623348"/>
    <w:rsid w:val="00627D48"/>
    <w:rsid w:val="00640102"/>
    <w:rsid w:val="00680572"/>
    <w:rsid w:val="00687FC0"/>
    <w:rsid w:val="00692FD4"/>
    <w:rsid w:val="00694E1B"/>
    <w:rsid w:val="006B6756"/>
    <w:rsid w:val="00700006"/>
    <w:rsid w:val="00700FD7"/>
    <w:rsid w:val="00701B0A"/>
    <w:rsid w:val="00707155"/>
    <w:rsid w:val="007111CF"/>
    <w:rsid w:val="00714DD3"/>
    <w:rsid w:val="007230EB"/>
    <w:rsid w:val="00723F9B"/>
    <w:rsid w:val="00725CE6"/>
    <w:rsid w:val="0074077E"/>
    <w:rsid w:val="00773B35"/>
    <w:rsid w:val="007A00DA"/>
    <w:rsid w:val="007A53E5"/>
    <w:rsid w:val="007D47F9"/>
    <w:rsid w:val="007E0A63"/>
    <w:rsid w:val="007E16B3"/>
    <w:rsid w:val="007F3425"/>
    <w:rsid w:val="00803487"/>
    <w:rsid w:val="00807385"/>
    <w:rsid w:val="0081677F"/>
    <w:rsid w:val="00821042"/>
    <w:rsid w:val="00826D74"/>
    <w:rsid w:val="00833123"/>
    <w:rsid w:val="00885047"/>
    <w:rsid w:val="008910AB"/>
    <w:rsid w:val="008B2923"/>
    <w:rsid w:val="008D0982"/>
    <w:rsid w:val="008E329D"/>
    <w:rsid w:val="00901250"/>
    <w:rsid w:val="00903F84"/>
    <w:rsid w:val="009100BD"/>
    <w:rsid w:val="00912F69"/>
    <w:rsid w:val="0091566D"/>
    <w:rsid w:val="00960192"/>
    <w:rsid w:val="00995B43"/>
    <w:rsid w:val="009C6651"/>
    <w:rsid w:val="009E1469"/>
    <w:rsid w:val="009F579E"/>
    <w:rsid w:val="00A07292"/>
    <w:rsid w:val="00A40496"/>
    <w:rsid w:val="00A56F01"/>
    <w:rsid w:val="00A71DD4"/>
    <w:rsid w:val="00A72158"/>
    <w:rsid w:val="00A721AC"/>
    <w:rsid w:val="00AC456B"/>
    <w:rsid w:val="00AD10EE"/>
    <w:rsid w:val="00AD53DD"/>
    <w:rsid w:val="00AE7D71"/>
    <w:rsid w:val="00AF0CF5"/>
    <w:rsid w:val="00AF3B99"/>
    <w:rsid w:val="00B04A91"/>
    <w:rsid w:val="00B21116"/>
    <w:rsid w:val="00B27E9C"/>
    <w:rsid w:val="00B360F6"/>
    <w:rsid w:val="00B54239"/>
    <w:rsid w:val="00B5608F"/>
    <w:rsid w:val="00B6576F"/>
    <w:rsid w:val="00B72D03"/>
    <w:rsid w:val="00B74CE6"/>
    <w:rsid w:val="00B76401"/>
    <w:rsid w:val="00B80B8F"/>
    <w:rsid w:val="00BB32CF"/>
    <w:rsid w:val="00BF610A"/>
    <w:rsid w:val="00BF71D8"/>
    <w:rsid w:val="00C24901"/>
    <w:rsid w:val="00C413CA"/>
    <w:rsid w:val="00C46003"/>
    <w:rsid w:val="00C757AA"/>
    <w:rsid w:val="00CE58D4"/>
    <w:rsid w:val="00D066CA"/>
    <w:rsid w:val="00D112B4"/>
    <w:rsid w:val="00D16211"/>
    <w:rsid w:val="00D21782"/>
    <w:rsid w:val="00D35586"/>
    <w:rsid w:val="00D459B2"/>
    <w:rsid w:val="00D67542"/>
    <w:rsid w:val="00D80594"/>
    <w:rsid w:val="00D87403"/>
    <w:rsid w:val="00D877DD"/>
    <w:rsid w:val="00D90960"/>
    <w:rsid w:val="00DA49F6"/>
    <w:rsid w:val="00DA62F6"/>
    <w:rsid w:val="00DB27FF"/>
    <w:rsid w:val="00DD10A2"/>
    <w:rsid w:val="00DE7202"/>
    <w:rsid w:val="00E0371B"/>
    <w:rsid w:val="00E1350F"/>
    <w:rsid w:val="00E24C99"/>
    <w:rsid w:val="00E73598"/>
    <w:rsid w:val="00E75A47"/>
    <w:rsid w:val="00E81835"/>
    <w:rsid w:val="00E82622"/>
    <w:rsid w:val="00E8339B"/>
    <w:rsid w:val="00E84D74"/>
    <w:rsid w:val="00EB2A1A"/>
    <w:rsid w:val="00EB32F9"/>
    <w:rsid w:val="00EC507E"/>
    <w:rsid w:val="00EC777E"/>
    <w:rsid w:val="00ED1DCC"/>
    <w:rsid w:val="00EE140B"/>
    <w:rsid w:val="00F004E2"/>
    <w:rsid w:val="00F23B83"/>
    <w:rsid w:val="00F41FC1"/>
    <w:rsid w:val="00F56C43"/>
    <w:rsid w:val="00F813BC"/>
    <w:rsid w:val="00F8491F"/>
    <w:rsid w:val="00FA14ED"/>
    <w:rsid w:val="00FC2581"/>
    <w:rsid w:val="00FF63A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5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C25B2"/>
    <w:pPr>
      <w:tabs>
        <w:tab w:val="center" w:pos="4153"/>
        <w:tab w:val="right" w:pos="8306"/>
      </w:tabs>
    </w:pPr>
  </w:style>
  <w:style w:type="character" w:customStyle="1" w:styleId="HeaderChar">
    <w:name w:val="Header Char"/>
    <w:basedOn w:val="DefaultParagraphFont"/>
    <w:link w:val="Header"/>
    <w:rsid w:val="002C25B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25B2"/>
    <w:rPr>
      <w:rFonts w:ascii="Tahoma" w:hAnsi="Tahoma" w:cs="Tahoma"/>
      <w:sz w:val="16"/>
      <w:szCs w:val="16"/>
    </w:rPr>
  </w:style>
  <w:style w:type="character" w:customStyle="1" w:styleId="BalloonTextChar">
    <w:name w:val="Balloon Text Char"/>
    <w:basedOn w:val="DefaultParagraphFont"/>
    <w:link w:val="BalloonText"/>
    <w:uiPriority w:val="99"/>
    <w:semiHidden/>
    <w:rsid w:val="002C25B2"/>
    <w:rPr>
      <w:rFonts w:ascii="Tahoma" w:eastAsia="Times New Roman" w:hAnsi="Tahoma" w:cs="Tahoma"/>
      <w:sz w:val="16"/>
      <w:szCs w:val="16"/>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2C25B2"/>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2C25B2"/>
    <w:rPr>
      <w:rFonts w:ascii="Calibri" w:eastAsia="Calibri" w:hAnsi="Calibri" w:cs="Times New Roman"/>
    </w:rPr>
  </w:style>
  <w:style w:type="table" w:styleId="TableGrid">
    <w:name w:val="Table Grid"/>
    <w:basedOn w:val="TableNormal"/>
    <w:uiPriority w:val="59"/>
    <w:rsid w:val="00050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95B43"/>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5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C25B2"/>
    <w:pPr>
      <w:tabs>
        <w:tab w:val="center" w:pos="4153"/>
        <w:tab w:val="right" w:pos="8306"/>
      </w:tabs>
    </w:pPr>
  </w:style>
  <w:style w:type="character" w:customStyle="1" w:styleId="HeaderChar">
    <w:name w:val="Header Char"/>
    <w:basedOn w:val="DefaultParagraphFont"/>
    <w:link w:val="Header"/>
    <w:rsid w:val="002C25B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25B2"/>
    <w:rPr>
      <w:rFonts w:ascii="Tahoma" w:hAnsi="Tahoma" w:cs="Tahoma"/>
      <w:sz w:val="16"/>
      <w:szCs w:val="16"/>
    </w:rPr>
  </w:style>
  <w:style w:type="character" w:customStyle="1" w:styleId="BalloonTextChar">
    <w:name w:val="Balloon Text Char"/>
    <w:basedOn w:val="DefaultParagraphFont"/>
    <w:link w:val="BalloonText"/>
    <w:uiPriority w:val="99"/>
    <w:semiHidden/>
    <w:rsid w:val="002C25B2"/>
    <w:rPr>
      <w:rFonts w:ascii="Tahoma" w:eastAsia="Times New Roman" w:hAnsi="Tahoma" w:cs="Tahoma"/>
      <w:sz w:val="16"/>
      <w:szCs w:val="16"/>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2C25B2"/>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2C25B2"/>
    <w:rPr>
      <w:rFonts w:ascii="Calibri" w:eastAsia="Calibri" w:hAnsi="Calibri" w:cs="Times New Roman"/>
    </w:rPr>
  </w:style>
  <w:style w:type="table" w:styleId="TableGrid">
    <w:name w:val="Table Grid"/>
    <w:basedOn w:val="TableNormal"/>
    <w:uiPriority w:val="59"/>
    <w:rsid w:val="00050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95B43"/>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790462">
      <w:bodyDiv w:val="1"/>
      <w:marLeft w:val="0"/>
      <w:marRight w:val="0"/>
      <w:marTop w:val="0"/>
      <w:marBottom w:val="0"/>
      <w:divBdr>
        <w:top w:val="none" w:sz="0" w:space="0" w:color="auto"/>
        <w:left w:val="none" w:sz="0" w:space="0" w:color="auto"/>
        <w:bottom w:val="none" w:sz="0" w:space="0" w:color="auto"/>
        <w:right w:val="none" w:sz="0" w:space="0" w:color="auto"/>
      </w:divBdr>
    </w:div>
    <w:div w:id="77288323">
      <w:bodyDiv w:val="1"/>
      <w:marLeft w:val="0"/>
      <w:marRight w:val="0"/>
      <w:marTop w:val="0"/>
      <w:marBottom w:val="0"/>
      <w:divBdr>
        <w:top w:val="none" w:sz="0" w:space="0" w:color="auto"/>
        <w:left w:val="none" w:sz="0" w:space="0" w:color="auto"/>
        <w:bottom w:val="none" w:sz="0" w:space="0" w:color="auto"/>
        <w:right w:val="none" w:sz="0" w:space="0" w:color="auto"/>
      </w:divBdr>
    </w:div>
    <w:div w:id="349989116">
      <w:bodyDiv w:val="1"/>
      <w:marLeft w:val="0"/>
      <w:marRight w:val="0"/>
      <w:marTop w:val="0"/>
      <w:marBottom w:val="0"/>
      <w:divBdr>
        <w:top w:val="none" w:sz="0" w:space="0" w:color="auto"/>
        <w:left w:val="none" w:sz="0" w:space="0" w:color="auto"/>
        <w:bottom w:val="none" w:sz="0" w:space="0" w:color="auto"/>
        <w:right w:val="none" w:sz="0" w:space="0" w:color="auto"/>
      </w:divBdr>
    </w:div>
    <w:div w:id="363213585">
      <w:bodyDiv w:val="1"/>
      <w:marLeft w:val="0"/>
      <w:marRight w:val="0"/>
      <w:marTop w:val="0"/>
      <w:marBottom w:val="0"/>
      <w:divBdr>
        <w:top w:val="none" w:sz="0" w:space="0" w:color="auto"/>
        <w:left w:val="none" w:sz="0" w:space="0" w:color="auto"/>
        <w:bottom w:val="none" w:sz="0" w:space="0" w:color="auto"/>
        <w:right w:val="none" w:sz="0" w:space="0" w:color="auto"/>
      </w:divBdr>
    </w:div>
    <w:div w:id="384912275">
      <w:bodyDiv w:val="1"/>
      <w:marLeft w:val="0"/>
      <w:marRight w:val="0"/>
      <w:marTop w:val="0"/>
      <w:marBottom w:val="0"/>
      <w:divBdr>
        <w:top w:val="none" w:sz="0" w:space="0" w:color="auto"/>
        <w:left w:val="none" w:sz="0" w:space="0" w:color="auto"/>
        <w:bottom w:val="none" w:sz="0" w:space="0" w:color="auto"/>
        <w:right w:val="none" w:sz="0" w:space="0" w:color="auto"/>
      </w:divBdr>
    </w:div>
    <w:div w:id="392972962">
      <w:bodyDiv w:val="1"/>
      <w:marLeft w:val="0"/>
      <w:marRight w:val="0"/>
      <w:marTop w:val="0"/>
      <w:marBottom w:val="0"/>
      <w:divBdr>
        <w:top w:val="none" w:sz="0" w:space="0" w:color="auto"/>
        <w:left w:val="none" w:sz="0" w:space="0" w:color="auto"/>
        <w:bottom w:val="none" w:sz="0" w:space="0" w:color="auto"/>
        <w:right w:val="none" w:sz="0" w:space="0" w:color="auto"/>
      </w:divBdr>
    </w:div>
    <w:div w:id="569729681">
      <w:bodyDiv w:val="1"/>
      <w:marLeft w:val="0"/>
      <w:marRight w:val="0"/>
      <w:marTop w:val="0"/>
      <w:marBottom w:val="0"/>
      <w:divBdr>
        <w:top w:val="none" w:sz="0" w:space="0" w:color="auto"/>
        <w:left w:val="none" w:sz="0" w:space="0" w:color="auto"/>
        <w:bottom w:val="none" w:sz="0" w:space="0" w:color="auto"/>
        <w:right w:val="none" w:sz="0" w:space="0" w:color="auto"/>
      </w:divBdr>
    </w:div>
    <w:div w:id="626931075">
      <w:bodyDiv w:val="1"/>
      <w:marLeft w:val="0"/>
      <w:marRight w:val="0"/>
      <w:marTop w:val="0"/>
      <w:marBottom w:val="0"/>
      <w:divBdr>
        <w:top w:val="none" w:sz="0" w:space="0" w:color="auto"/>
        <w:left w:val="none" w:sz="0" w:space="0" w:color="auto"/>
        <w:bottom w:val="none" w:sz="0" w:space="0" w:color="auto"/>
        <w:right w:val="none" w:sz="0" w:space="0" w:color="auto"/>
      </w:divBdr>
    </w:div>
    <w:div w:id="767850717">
      <w:bodyDiv w:val="1"/>
      <w:marLeft w:val="0"/>
      <w:marRight w:val="0"/>
      <w:marTop w:val="0"/>
      <w:marBottom w:val="0"/>
      <w:divBdr>
        <w:top w:val="none" w:sz="0" w:space="0" w:color="auto"/>
        <w:left w:val="none" w:sz="0" w:space="0" w:color="auto"/>
        <w:bottom w:val="none" w:sz="0" w:space="0" w:color="auto"/>
        <w:right w:val="none" w:sz="0" w:space="0" w:color="auto"/>
      </w:divBdr>
    </w:div>
    <w:div w:id="825392055">
      <w:bodyDiv w:val="1"/>
      <w:marLeft w:val="0"/>
      <w:marRight w:val="0"/>
      <w:marTop w:val="0"/>
      <w:marBottom w:val="0"/>
      <w:divBdr>
        <w:top w:val="none" w:sz="0" w:space="0" w:color="auto"/>
        <w:left w:val="none" w:sz="0" w:space="0" w:color="auto"/>
        <w:bottom w:val="none" w:sz="0" w:space="0" w:color="auto"/>
        <w:right w:val="none" w:sz="0" w:space="0" w:color="auto"/>
      </w:divBdr>
    </w:div>
    <w:div w:id="929394100">
      <w:bodyDiv w:val="1"/>
      <w:marLeft w:val="0"/>
      <w:marRight w:val="0"/>
      <w:marTop w:val="0"/>
      <w:marBottom w:val="0"/>
      <w:divBdr>
        <w:top w:val="none" w:sz="0" w:space="0" w:color="auto"/>
        <w:left w:val="none" w:sz="0" w:space="0" w:color="auto"/>
        <w:bottom w:val="none" w:sz="0" w:space="0" w:color="auto"/>
        <w:right w:val="none" w:sz="0" w:space="0" w:color="auto"/>
      </w:divBdr>
    </w:div>
    <w:div w:id="1006058204">
      <w:bodyDiv w:val="1"/>
      <w:marLeft w:val="0"/>
      <w:marRight w:val="0"/>
      <w:marTop w:val="0"/>
      <w:marBottom w:val="0"/>
      <w:divBdr>
        <w:top w:val="none" w:sz="0" w:space="0" w:color="auto"/>
        <w:left w:val="none" w:sz="0" w:space="0" w:color="auto"/>
        <w:bottom w:val="none" w:sz="0" w:space="0" w:color="auto"/>
        <w:right w:val="none" w:sz="0" w:space="0" w:color="auto"/>
      </w:divBdr>
    </w:div>
    <w:div w:id="1052579514">
      <w:bodyDiv w:val="1"/>
      <w:marLeft w:val="0"/>
      <w:marRight w:val="0"/>
      <w:marTop w:val="0"/>
      <w:marBottom w:val="0"/>
      <w:divBdr>
        <w:top w:val="none" w:sz="0" w:space="0" w:color="auto"/>
        <w:left w:val="none" w:sz="0" w:space="0" w:color="auto"/>
        <w:bottom w:val="none" w:sz="0" w:space="0" w:color="auto"/>
        <w:right w:val="none" w:sz="0" w:space="0" w:color="auto"/>
      </w:divBdr>
    </w:div>
    <w:div w:id="1087969404">
      <w:bodyDiv w:val="1"/>
      <w:marLeft w:val="0"/>
      <w:marRight w:val="0"/>
      <w:marTop w:val="0"/>
      <w:marBottom w:val="0"/>
      <w:divBdr>
        <w:top w:val="none" w:sz="0" w:space="0" w:color="auto"/>
        <w:left w:val="none" w:sz="0" w:space="0" w:color="auto"/>
        <w:bottom w:val="none" w:sz="0" w:space="0" w:color="auto"/>
        <w:right w:val="none" w:sz="0" w:space="0" w:color="auto"/>
      </w:divBdr>
    </w:div>
    <w:div w:id="1159228717">
      <w:bodyDiv w:val="1"/>
      <w:marLeft w:val="0"/>
      <w:marRight w:val="0"/>
      <w:marTop w:val="0"/>
      <w:marBottom w:val="0"/>
      <w:divBdr>
        <w:top w:val="none" w:sz="0" w:space="0" w:color="auto"/>
        <w:left w:val="none" w:sz="0" w:space="0" w:color="auto"/>
        <w:bottom w:val="none" w:sz="0" w:space="0" w:color="auto"/>
        <w:right w:val="none" w:sz="0" w:space="0" w:color="auto"/>
      </w:divBdr>
    </w:div>
    <w:div w:id="1186941610">
      <w:bodyDiv w:val="1"/>
      <w:marLeft w:val="0"/>
      <w:marRight w:val="0"/>
      <w:marTop w:val="0"/>
      <w:marBottom w:val="0"/>
      <w:divBdr>
        <w:top w:val="none" w:sz="0" w:space="0" w:color="auto"/>
        <w:left w:val="none" w:sz="0" w:space="0" w:color="auto"/>
        <w:bottom w:val="none" w:sz="0" w:space="0" w:color="auto"/>
        <w:right w:val="none" w:sz="0" w:space="0" w:color="auto"/>
      </w:divBdr>
    </w:div>
    <w:div w:id="1305165036">
      <w:bodyDiv w:val="1"/>
      <w:marLeft w:val="0"/>
      <w:marRight w:val="0"/>
      <w:marTop w:val="0"/>
      <w:marBottom w:val="0"/>
      <w:divBdr>
        <w:top w:val="none" w:sz="0" w:space="0" w:color="auto"/>
        <w:left w:val="none" w:sz="0" w:space="0" w:color="auto"/>
        <w:bottom w:val="none" w:sz="0" w:space="0" w:color="auto"/>
        <w:right w:val="none" w:sz="0" w:space="0" w:color="auto"/>
      </w:divBdr>
    </w:div>
    <w:div w:id="1315524155">
      <w:bodyDiv w:val="1"/>
      <w:marLeft w:val="0"/>
      <w:marRight w:val="0"/>
      <w:marTop w:val="0"/>
      <w:marBottom w:val="0"/>
      <w:divBdr>
        <w:top w:val="none" w:sz="0" w:space="0" w:color="auto"/>
        <w:left w:val="none" w:sz="0" w:space="0" w:color="auto"/>
        <w:bottom w:val="none" w:sz="0" w:space="0" w:color="auto"/>
        <w:right w:val="none" w:sz="0" w:space="0" w:color="auto"/>
      </w:divBdr>
    </w:div>
    <w:div w:id="1991904400">
      <w:bodyDiv w:val="1"/>
      <w:marLeft w:val="0"/>
      <w:marRight w:val="0"/>
      <w:marTop w:val="0"/>
      <w:marBottom w:val="0"/>
      <w:divBdr>
        <w:top w:val="none" w:sz="0" w:space="0" w:color="auto"/>
        <w:left w:val="none" w:sz="0" w:space="0" w:color="auto"/>
        <w:bottom w:val="none" w:sz="0" w:space="0" w:color="auto"/>
        <w:right w:val="none" w:sz="0" w:space="0" w:color="auto"/>
      </w:divBdr>
    </w:div>
    <w:div w:id="210930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064A6-41C1-4DF8-B340-DD185606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7</Pages>
  <Words>2411</Words>
  <Characters>13746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NHS Borders</Company>
  <LinksUpToDate>false</LinksUpToDate>
  <CharactersWithSpaces>16125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Buchan, Viv</dc:creator>
  <cp:lastModifiedBy>pmcmenamin</cp:lastModifiedBy>
  <cp:revision>17</cp:revision>
  <dcterms:created xsi:type="dcterms:W3CDTF">2021-06-30T10:52:00Z</dcterms:created>
  <dcterms:modified xsi:type="dcterms:W3CDTF">2021-07-08T09:40:00Z</dcterms:modified>
</cp:coreProperties>
</file>